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_GBK" w:cs="Times New Roman"/>
          <w:sz w:val="44"/>
          <w:szCs w:val="44"/>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before="104" w:line="540" w:lineRule="exact"/>
        <w:contextualSpacing/>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关于印发大力发展牛产业的实施意见</w:t>
      </w:r>
    </w:p>
    <w:p>
      <w:pPr>
        <w:keepNext w:val="0"/>
        <w:keepLines w:val="0"/>
        <w:pageBreakBefore w:val="0"/>
        <w:widowControl w:val="0"/>
        <w:kinsoku/>
        <w:wordWrap/>
        <w:overflowPunct/>
        <w:topLinePunct w:val="0"/>
        <w:autoSpaceDE/>
        <w:autoSpaceDN/>
        <w:bidi w:val="0"/>
        <w:adjustRightInd/>
        <w:snapToGrid/>
        <w:spacing w:before="104" w:line="540" w:lineRule="exact"/>
        <w:contextualSpacing/>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的通知</w:t>
      </w:r>
    </w:p>
    <w:p>
      <w:pPr>
        <w:spacing w:line="520" w:lineRule="exac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黔江府办发〔2022〕</w:t>
      </w:r>
      <w:r>
        <w:rPr>
          <w:rFonts w:hint="eastAsia" w:ascii="Times New Roman" w:hAnsi="Times New Roman" w:eastAsia="方正仿宋_GBK" w:cs="Times New Roman"/>
          <w:color w:val="000000"/>
          <w:sz w:val="32"/>
          <w:szCs w:val="32"/>
        </w:rPr>
        <w:t>30</w:t>
      </w:r>
      <w:r>
        <w:rPr>
          <w:rFonts w:ascii="Times New Roman" w:hAnsi="Times New Roman" w:eastAsia="方正仿宋_GBK" w:cs="Times New Roman"/>
          <w:color w:val="000000"/>
          <w:sz w:val="32"/>
          <w:szCs w:val="32"/>
        </w:rPr>
        <w:t>号</w:t>
      </w:r>
    </w:p>
    <w:p>
      <w:pPr>
        <w:spacing w:line="520" w:lineRule="exact"/>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napToGrid/>
        <w:spacing w:line="60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各乡、镇人民政府，各街道办事处，区政府各部门，有关单位：</w:t>
      </w:r>
    </w:p>
    <w:p>
      <w:pPr>
        <w:keepNext w:val="0"/>
        <w:keepLines w:val="0"/>
        <w:pageBreakBefore w:val="0"/>
        <w:widowControl w:val="0"/>
        <w:kinsoku/>
        <w:wordWrap/>
        <w:overflowPunct/>
        <w:topLinePunct w:val="0"/>
        <w:bidi w:val="0"/>
        <w:snapToGrid/>
        <w:spacing w:line="600" w:lineRule="exact"/>
        <w:jc w:val="lef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《大力发展牛产业的实施意见》已经区政府同意，现印发给你们，请认真贯彻执行。</w:t>
      </w:r>
    </w:p>
    <w:p>
      <w:pPr>
        <w:keepNext w:val="0"/>
        <w:keepLines w:val="0"/>
        <w:pageBreakBefore w:val="0"/>
        <w:widowControl w:val="0"/>
        <w:kinsoku/>
        <w:wordWrap/>
        <w:overflowPunct/>
        <w:topLinePunct w:val="0"/>
        <w:bidi w:val="0"/>
        <w:snapToGrid/>
        <w:spacing w:line="600" w:lineRule="exact"/>
        <w:jc w:val="center"/>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ascii="Times New Roman" w:hAnsi="Times New Roman" w:eastAsia="方正黑体_GBK" w:cs="Times New Roman"/>
          <w:sz w:val="32"/>
          <w:szCs w:val="32"/>
        </w:rPr>
      </w:pPr>
    </w:p>
    <w:p>
      <w:pPr>
        <w:keepNext w:val="0"/>
        <w:keepLines w:val="0"/>
        <w:pageBreakBefore w:val="0"/>
        <w:widowControl w:val="0"/>
        <w:kinsoku/>
        <w:wordWrap/>
        <w:overflowPunct/>
        <w:topLinePunct w:val="0"/>
        <w:bidi w:val="0"/>
        <w:snapToGrid/>
        <w:spacing w:line="600" w:lineRule="exact"/>
        <w:ind w:firstLine="4153" w:firstLineChars="1298"/>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重庆市黔江区人民政府办公室</w:t>
      </w:r>
    </w:p>
    <w:p>
      <w:pPr>
        <w:keepNext w:val="0"/>
        <w:keepLines w:val="0"/>
        <w:pageBreakBefore w:val="0"/>
        <w:widowControl w:val="0"/>
        <w:kinsoku/>
        <w:wordWrap/>
        <w:overflowPunct/>
        <w:topLinePunct w:val="0"/>
        <w:bidi w:val="0"/>
        <w:snapToGrid/>
        <w:spacing w:line="6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2022年</w:t>
      </w: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日</w:t>
      </w:r>
    </w:p>
    <w:p>
      <w:pPr>
        <w:pStyle w:val="13"/>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color w:val="000000"/>
          <w:sz w:val="44"/>
          <w:szCs w:val="44"/>
        </w:rPr>
      </w:pPr>
    </w:p>
    <w:p>
      <w:pPr>
        <w:spacing w:line="480" w:lineRule="exact"/>
        <w:jc w:val="center"/>
        <w:rPr>
          <w:rFonts w:hint="eastAsia" w:ascii="方正小标宋_GBK" w:hAnsi="方正小标宋_GBK" w:eastAsia="方正小标宋_GBK" w:cs="方正小标宋_GBK"/>
          <w:color w:val="000000"/>
          <w:sz w:val="44"/>
          <w:szCs w:val="44"/>
        </w:rPr>
      </w:pPr>
    </w:p>
    <w:p>
      <w:pPr>
        <w:spacing w:line="480" w:lineRule="exact"/>
        <w:jc w:val="center"/>
        <w:rPr>
          <w:rFonts w:hint="eastAsia" w:ascii="方正小标宋_GBK" w:hAnsi="方正小标宋_GBK" w:eastAsia="方正小标宋_GBK" w:cs="方正小标宋_GBK"/>
          <w:color w:val="000000"/>
          <w:sz w:val="44"/>
          <w:szCs w:val="44"/>
        </w:rPr>
      </w:pPr>
    </w:p>
    <w:p>
      <w:pPr>
        <w:spacing w:line="480" w:lineRule="exact"/>
        <w:jc w:val="both"/>
        <w:rPr>
          <w:rFonts w:hint="eastAsia" w:ascii="方正小标宋_GBK" w:hAnsi="方正小标宋_GBK" w:eastAsia="方正小标宋_GBK" w:cs="方正小标宋_GBK"/>
          <w:color w:val="000000"/>
          <w:sz w:val="44"/>
          <w:szCs w:val="44"/>
        </w:rPr>
      </w:pPr>
    </w:p>
    <w:p>
      <w:pPr>
        <w:spacing w:line="480" w:lineRule="exact"/>
        <w:jc w:val="center"/>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color w:val="000000"/>
          <w:sz w:val="44"/>
          <w:szCs w:val="44"/>
        </w:rPr>
      </w:pPr>
      <w:r>
        <w:rPr>
          <w:rFonts w:hint="eastAsia" w:ascii="方正小标宋_GBK" w:hAnsi="方正小标宋_GBK" w:eastAsia="方正小标宋_GBK" w:cs="方正小标宋_GBK"/>
          <w:color w:val="000000"/>
          <w:sz w:val="44"/>
          <w:szCs w:val="44"/>
        </w:rPr>
        <w:t>大力发展牛产业的实施意见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rPr>
        <w:t>为</w:t>
      </w:r>
      <w:r>
        <w:rPr>
          <w:rFonts w:hint="eastAsia" w:ascii="方正仿宋_GBK" w:hAnsi="方正仿宋_GBK" w:eastAsia="方正仿宋_GBK" w:cs="方正仿宋_GBK"/>
          <w:color w:val="000000"/>
          <w:sz w:val="32"/>
          <w:szCs w:val="32"/>
          <w:shd w:val="clear" w:color="auto" w:fill="FFFFFF"/>
        </w:rPr>
        <w:t>加</w:t>
      </w:r>
      <w:r>
        <w:rPr>
          <w:rFonts w:ascii="Times New Roman" w:hAnsi="Times New Roman" w:eastAsia="方正仿宋_GBK" w:cs="Times New Roman"/>
          <w:color w:val="000000"/>
          <w:sz w:val="32"/>
          <w:szCs w:val="32"/>
          <w:shd w:val="clear" w:color="auto" w:fill="FFFFFF"/>
        </w:rPr>
        <w:t>快构建现代养殖体系，</w:t>
      </w:r>
      <w:r>
        <w:rPr>
          <w:rFonts w:ascii="Times New Roman" w:hAnsi="Times New Roman" w:eastAsia="方正仿宋_GBK" w:cs="Times New Roman"/>
          <w:color w:val="000000"/>
          <w:sz w:val="32"/>
          <w:szCs w:val="32"/>
        </w:rPr>
        <w:t>做强做大肉牛、奶牛产业，推进畜牧产业进一步转型升级，助力乡村振兴，促进全区畜牧产业实现高质量绿色发展，特印发此实施意见。</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黑体_GBK" w:cs="Times New Roman"/>
          <w:color w:val="000000"/>
          <w:kern w:val="0"/>
          <w:sz w:val="32"/>
          <w:szCs w:val="32"/>
          <w:shd w:val="clear" w:color="auto" w:fill="FFFFFF"/>
          <w:lang w:val="en-US" w:eastAsia="zh-CN" w:bidi="ar"/>
        </w:rPr>
      </w:pPr>
      <w:r>
        <w:rPr>
          <w:rFonts w:ascii="Times New Roman" w:hAnsi="Times New Roman" w:eastAsia="方正黑体_GBK" w:cs="Times New Roman"/>
          <w:color w:val="000000"/>
          <w:kern w:val="0"/>
          <w:sz w:val="32"/>
          <w:szCs w:val="32"/>
          <w:shd w:val="clear" w:color="auto" w:fill="FFFFFF"/>
          <w:lang w:val="en-US" w:eastAsia="zh-CN" w:bidi="ar"/>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以习近平新时代中国特色社会主义思想为指导，践行新发展理念，坚持保供给与促增收并重，坚持“政府支持、企业主体、市场运作、带动农户”的发展思路，以地定畜，种养结合，加快构建现代养殖体系，提高疫病控制水平，实现产出高效、产品安全、资源节约、环境友好的高质量发展，全力推进牛产业基地建设，全面推进乡村振兴，加快农业农村现代化。</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黑体_GBK" w:cs="Times New Roman"/>
          <w:color w:val="000000"/>
          <w:kern w:val="0"/>
          <w:sz w:val="32"/>
          <w:szCs w:val="32"/>
          <w:shd w:val="clear" w:color="auto" w:fill="FFFFFF"/>
          <w:lang w:val="en-US" w:eastAsia="zh-CN" w:bidi="ar"/>
        </w:rPr>
      </w:pPr>
      <w:r>
        <w:rPr>
          <w:rFonts w:ascii="Times New Roman" w:hAnsi="Times New Roman" w:eastAsia="方正黑体_GBK" w:cs="Times New Roman"/>
          <w:color w:val="000000"/>
          <w:kern w:val="0"/>
          <w:sz w:val="32"/>
          <w:szCs w:val="32"/>
          <w:shd w:val="clear" w:color="auto" w:fill="FFFFFF"/>
          <w:lang w:val="en-US" w:eastAsia="zh-CN" w:bidi="ar"/>
        </w:rPr>
        <w:t>二、发展目标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2022年全区出栏肉牛4万头。到2026年，全区出栏肉牛9.5万头，存栏奶牛0.5万头。</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黑体_GBK" w:cs="Times New Roman"/>
          <w:color w:val="000000"/>
          <w:kern w:val="0"/>
          <w:sz w:val="32"/>
          <w:szCs w:val="32"/>
          <w:shd w:val="clear" w:color="auto" w:fill="FFFFFF"/>
          <w:lang w:val="en-US" w:eastAsia="zh-CN" w:bidi="ar"/>
        </w:rPr>
      </w:pPr>
      <w:r>
        <w:rPr>
          <w:rFonts w:ascii="Times New Roman" w:hAnsi="Times New Roman" w:eastAsia="方正黑体_GBK" w:cs="Times New Roman"/>
          <w:color w:val="000000"/>
          <w:kern w:val="0"/>
          <w:sz w:val="32"/>
          <w:szCs w:val="32"/>
          <w:shd w:val="clear" w:color="auto" w:fill="FFFFFF"/>
          <w:lang w:val="en-US" w:eastAsia="zh-CN" w:bidi="ar"/>
        </w:rPr>
        <w:t>三、工作重点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（一）引进龙头企业。</w:t>
      </w:r>
      <w:r>
        <w:rPr>
          <w:rFonts w:ascii="Times New Roman" w:hAnsi="Times New Roman" w:eastAsia="方正仿宋_GBK" w:cs="Times New Roman"/>
          <w:color w:val="000000"/>
          <w:sz w:val="32"/>
          <w:szCs w:val="32"/>
        </w:rPr>
        <w:t>加大招商引资力度，引进具备良种繁育、规模化养殖、产品加工及销售为一体的综合性龙头企业，从供种、商品犊牛</w:t>
      </w:r>
      <w:r>
        <w:rPr>
          <w:rFonts w:hint="eastAsia" w:ascii="Times New Roman" w:hAnsi="Times New Roman" w:eastAsia="方正仿宋_GBK" w:cs="Times New Roman"/>
          <w:color w:val="000000"/>
          <w:sz w:val="32"/>
          <w:szCs w:val="32"/>
        </w:rPr>
        <w:t>供应</w:t>
      </w:r>
      <w:r>
        <w:rPr>
          <w:rFonts w:ascii="Times New Roman" w:hAnsi="Times New Roman" w:eastAsia="方正仿宋_GBK" w:cs="Times New Roman"/>
          <w:color w:val="000000"/>
          <w:sz w:val="32"/>
          <w:szCs w:val="32"/>
        </w:rPr>
        <w:t>及科技支撑等方面带动全区肉牛产业发展。引进奶牛养殖和牛乳制品加工龙头企业，建成重庆市内重要奶源供应基地。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（二）科学规划布局。</w:t>
      </w:r>
      <w:r>
        <w:rPr>
          <w:rFonts w:ascii="Times New Roman" w:hAnsi="Times New Roman" w:eastAsia="方正仿宋_GBK" w:cs="Times New Roman"/>
          <w:b/>
          <w:color w:val="000000"/>
          <w:sz w:val="32"/>
          <w:szCs w:val="32"/>
        </w:rPr>
        <w:t>一是</w:t>
      </w:r>
      <w:r>
        <w:rPr>
          <w:rFonts w:ascii="Times New Roman" w:hAnsi="Times New Roman" w:eastAsia="方正仿宋_GBK" w:cs="Times New Roman"/>
          <w:color w:val="000000"/>
          <w:sz w:val="32"/>
          <w:szCs w:val="32"/>
        </w:rPr>
        <w:t>加快培育肉牛新型经营主体，实施“十百千万”工程。即发展10个500头以上肉牛示范场，发展100个100头以上肉牛示范场，发展1000家20头以上肉牛养殖户，发展10000家5头以上肉牛养殖户。</w:t>
      </w:r>
      <w:r>
        <w:rPr>
          <w:rFonts w:ascii="Times New Roman" w:hAnsi="Times New Roman" w:eastAsia="方正仿宋_GBK" w:cs="Times New Roman"/>
          <w:b/>
          <w:color w:val="000000"/>
          <w:sz w:val="32"/>
          <w:szCs w:val="32"/>
        </w:rPr>
        <w:t>二是</w:t>
      </w:r>
      <w:r>
        <w:rPr>
          <w:rFonts w:ascii="Times New Roman" w:hAnsi="Times New Roman" w:eastAsia="方正仿宋_GBK" w:cs="Times New Roman"/>
          <w:color w:val="000000"/>
          <w:sz w:val="32"/>
          <w:szCs w:val="32"/>
        </w:rPr>
        <w:t>打造市级重要奶源供给基地，新建2-3个标准化奶牛规模场，全区存栏奶牛达到0.5万头以上。</w:t>
      </w:r>
      <w:r>
        <w:rPr>
          <w:rFonts w:ascii="Times New Roman" w:hAnsi="Times New Roman" w:eastAsia="方正仿宋_GBK" w:cs="Times New Roman"/>
          <w:b/>
          <w:bCs/>
          <w:color w:val="000000"/>
          <w:sz w:val="32"/>
          <w:szCs w:val="32"/>
        </w:rPr>
        <w:t>三是</w:t>
      </w:r>
      <w:r>
        <w:rPr>
          <w:rFonts w:ascii="Times New Roman" w:hAnsi="Times New Roman" w:eastAsia="方正仿宋_GBK" w:cs="Times New Roman"/>
          <w:color w:val="000000"/>
          <w:sz w:val="32"/>
          <w:szCs w:val="32"/>
        </w:rPr>
        <w:t>创建国市肉牛现代农业产业园，发展8个肉牛产业强镇。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（三）构建良繁体系。</w:t>
      </w:r>
      <w:r>
        <w:rPr>
          <w:rFonts w:ascii="Times New Roman" w:hAnsi="Times New Roman" w:eastAsia="方正仿宋_GBK" w:cs="Times New Roman"/>
          <w:color w:val="000000"/>
          <w:sz w:val="32"/>
          <w:szCs w:val="32"/>
        </w:rPr>
        <w:t>突出牛产业核心生产力，培育优质良种肉牛繁育企业，提升优质犊牛供给能力。推广良种肉牛人工授精服务，政府采购统一提供优质肉牛冻精及耗材。鼓励养殖场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户</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开展肉牛自繁自养，探索“母畜分户饲养、</w:t>
      </w:r>
      <w:r>
        <w:rPr>
          <w:rFonts w:hint="eastAsia" w:ascii="Times New Roman" w:hAnsi="Times New Roman" w:eastAsia="方正仿宋_GBK" w:cs="Times New Roman"/>
          <w:color w:val="000000"/>
          <w:sz w:val="32"/>
          <w:szCs w:val="32"/>
        </w:rPr>
        <w:t>仔</w:t>
      </w:r>
      <w:r>
        <w:rPr>
          <w:rFonts w:ascii="Times New Roman" w:hAnsi="Times New Roman" w:eastAsia="方正仿宋_GBK" w:cs="Times New Roman"/>
          <w:color w:val="000000"/>
          <w:sz w:val="32"/>
          <w:szCs w:val="32"/>
        </w:rPr>
        <w:t>畜集中育肥”发展模式，持续推进能繁母牛扩群增量，提升肉牛规模场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户</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能繁母牛饲养比例，稳定能繁母牛生产群体。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（四）坚持科技兴畜。</w:t>
      </w:r>
      <w:r>
        <w:rPr>
          <w:rFonts w:ascii="Times New Roman" w:hAnsi="Times New Roman" w:eastAsia="方正仿宋_GBK" w:cs="Times New Roman"/>
          <w:color w:val="000000"/>
          <w:sz w:val="32"/>
          <w:szCs w:val="32"/>
        </w:rPr>
        <w:t>加强与重庆市畜牧科学院、西南大学等院校合作，主动与四川宣汉、重庆丰都“联姻”，邀请国市科技专家作现场指导，组建专家大院、专家工作站、牛产业协会，强化肉牛养殖现代化饲养技术应用，在品种选育、良种繁育、科学饲养、粪污资源化利用等方面开展科技攻关和技术推广。加大科技培训力度，培育牛产业新型职业农民，整合和壮大我区畜牧兽医技术队伍，引进专业技术人才，强化技术链，为牛产业发展提供坚强的人才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（五）强化疫病防控。</w:t>
      </w:r>
      <w:r>
        <w:rPr>
          <w:rFonts w:ascii="Times New Roman" w:hAnsi="Times New Roman" w:eastAsia="方正仿宋_GBK" w:cs="Times New Roman"/>
          <w:color w:val="000000"/>
          <w:sz w:val="32"/>
          <w:szCs w:val="32"/>
        </w:rPr>
        <w:t>加强动物疫病防疫体系建设，坚持春秋集中防疫与日常防控相结合的动物防疫常态化机制，加大牛“布病、结核病、结节性皮肤病”监测，强化引种、养殖、流通、加工等环节动物卫生监管，落实免疫、扑杀、无害化处理措施，积极创建无疫小区和示范场建设。加强乡镇街道畜牧兽医站建设，稳定村级防疫员队伍，夯实动物防疫基层基础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（六）推进种养循环。</w:t>
      </w:r>
      <w:r>
        <w:rPr>
          <w:rFonts w:ascii="Times New Roman" w:hAnsi="Times New Roman" w:eastAsia="方正仿宋_GBK" w:cs="Times New Roman"/>
          <w:color w:val="000000"/>
          <w:sz w:val="32"/>
          <w:szCs w:val="32"/>
        </w:rPr>
        <w:t>牢固树立绿色发展理念，坚持产业生态化，生态产业化，争取和配置国家“粮改饲”项目，推广皇竹草等多年生牧草，发展一批种草专业大户，加大宜机化项目实施力度，提高饲草生产机械化水平，养殖粪</w:t>
      </w:r>
      <w:r>
        <w:rPr>
          <w:rFonts w:hint="eastAsia" w:ascii="Times New Roman" w:hAnsi="Times New Roman" w:eastAsia="方正仿宋_GBK" w:cs="Times New Roman"/>
          <w:color w:val="000000"/>
          <w:sz w:val="32"/>
          <w:szCs w:val="32"/>
        </w:rPr>
        <w:t>污</w:t>
      </w:r>
      <w:r>
        <w:rPr>
          <w:rFonts w:ascii="Times New Roman" w:hAnsi="Times New Roman" w:eastAsia="方正仿宋_GBK" w:cs="Times New Roman"/>
          <w:color w:val="000000"/>
          <w:sz w:val="32"/>
          <w:szCs w:val="32"/>
        </w:rPr>
        <w:t>全部实行还田还土，养牛户配套</w:t>
      </w:r>
      <w:r>
        <w:rPr>
          <w:rFonts w:hint="eastAsia" w:ascii="Times New Roman" w:hAnsi="Times New Roman" w:eastAsia="方正仿宋_GBK" w:cs="Times New Roman"/>
          <w:color w:val="000000"/>
          <w:sz w:val="32"/>
          <w:szCs w:val="32"/>
        </w:rPr>
        <w:t>种植</w:t>
      </w:r>
      <w:r>
        <w:rPr>
          <w:rFonts w:ascii="Times New Roman" w:hAnsi="Times New Roman" w:eastAsia="方正仿宋_GBK" w:cs="Times New Roman"/>
          <w:color w:val="000000"/>
          <w:sz w:val="32"/>
          <w:szCs w:val="32"/>
        </w:rPr>
        <w:t>适度规模牧草，既保障饲料供给，又消除环境污染，也推动化肥减量，实现养殖业与种植业高度循环，促进牛产业可持续发展。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（七）搞活加工流通。</w:t>
      </w:r>
      <w:r>
        <w:rPr>
          <w:rFonts w:ascii="Times New Roman" w:hAnsi="Times New Roman" w:eastAsia="方正仿宋_GBK" w:cs="Times New Roman"/>
          <w:color w:val="000000"/>
          <w:sz w:val="32"/>
          <w:szCs w:val="32"/>
        </w:rPr>
        <w:t>提升肉牛定点屠宰能力，促进“运活畜”向“运肉”转变。引进现代肉牛加工企业，扩大市场空间，延伸牛产业链，提升价值链。依托地方现有牛产品加工企业基础，提升“黔江牛肉脯”“黔江牛肉干”特色品牌的知名度、美誉度和影响力。结合奶牛养殖规模发展，适时推进乳制品加工。加大牛产品营销推荐，积极参与各类展会平台，加强与</w:t>
      </w:r>
      <w:r>
        <w:rPr>
          <w:rFonts w:hint="eastAsia" w:ascii="Times New Roman" w:hAnsi="Times New Roman" w:eastAsia="方正仿宋_GBK" w:cs="Times New Roman"/>
          <w:color w:val="000000"/>
          <w:sz w:val="32"/>
          <w:szCs w:val="32"/>
        </w:rPr>
        <w:t>电</w:t>
      </w:r>
      <w:r>
        <w:rPr>
          <w:rFonts w:ascii="Times New Roman" w:hAnsi="Times New Roman" w:eastAsia="方正仿宋_GBK" w:cs="Times New Roman"/>
          <w:color w:val="000000"/>
          <w:sz w:val="32"/>
          <w:szCs w:val="32"/>
        </w:rPr>
        <w:t>商、商超合作，实现线上线下融合发展，不断提升牛产业的市场竞争力。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（八）确保质量安全。</w:t>
      </w:r>
      <w:r>
        <w:rPr>
          <w:rFonts w:ascii="Times New Roman" w:hAnsi="Times New Roman" w:eastAsia="方正仿宋_GBK" w:cs="Times New Roman"/>
          <w:color w:val="000000"/>
          <w:sz w:val="32"/>
          <w:szCs w:val="32"/>
        </w:rPr>
        <w:t>认真落实</w:t>
      </w:r>
      <w:r>
        <w:rPr>
          <w:rFonts w:hint="eastAsia" w:ascii="Times New Roman" w:hAnsi="Times New Roman" w:eastAsia="方正仿宋_GBK" w:cs="Times New Roman"/>
          <w:color w:val="000000"/>
          <w:sz w:val="32"/>
          <w:szCs w:val="32"/>
        </w:rPr>
        <w:t>农业农村部等7部委联合印发的</w:t>
      </w:r>
      <w:r>
        <w:rPr>
          <w:rFonts w:ascii="Times New Roman" w:hAnsi="Times New Roman" w:eastAsia="方正仿宋_GBK" w:cs="Times New Roman"/>
          <w:color w:val="000000"/>
          <w:sz w:val="32"/>
          <w:szCs w:val="32"/>
        </w:rPr>
        <w:t>《食用农产品“治违禁·控药残·促提升”三年行动方案》要求，建立完善养殖档案，加强养殖过程质量管控，指导养殖场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户</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科学合理用药，严格生产、屠宰环节检疫，加强质量安全监测，严厉打击养殖环节“瘦肉精”、屠宰环节“注水肉”等非法行为，确保</w:t>
      </w:r>
      <w:r>
        <w:rPr>
          <w:rFonts w:hint="eastAsia" w:ascii="Times New Roman" w:hAnsi="Times New Roman" w:eastAsia="方正仿宋_GBK" w:cs="Times New Roman"/>
          <w:color w:val="000000"/>
          <w:sz w:val="32"/>
          <w:szCs w:val="32"/>
        </w:rPr>
        <w:t>畜产品</w:t>
      </w:r>
      <w:r>
        <w:rPr>
          <w:rFonts w:ascii="Times New Roman" w:hAnsi="Times New Roman" w:eastAsia="方正仿宋_GBK" w:cs="Times New Roman"/>
          <w:color w:val="000000"/>
          <w:sz w:val="32"/>
          <w:szCs w:val="32"/>
        </w:rPr>
        <w:t>质量安全。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黑体_GBK" w:cs="Times New Roman"/>
          <w:color w:val="000000"/>
          <w:kern w:val="0"/>
          <w:sz w:val="32"/>
          <w:szCs w:val="32"/>
          <w:shd w:val="clear" w:color="auto" w:fill="FFFFFF"/>
          <w:lang w:val="en-US" w:eastAsia="zh-CN" w:bidi="ar"/>
        </w:rPr>
      </w:pPr>
      <w:r>
        <w:rPr>
          <w:rFonts w:ascii="Times New Roman" w:hAnsi="Times New Roman" w:eastAsia="方正黑体_GBK" w:cs="Times New Roman"/>
          <w:color w:val="000000"/>
          <w:kern w:val="0"/>
          <w:sz w:val="32"/>
          <w:szCs w:val="32"/>
          <w:shd w:val="clear" w:color="auto" w:fill="FFFFFF"/>
          <w:lang w:val="en-US" w:eastAsia="zh-CN" w:bidi="ar"/>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（一）加强组织领导。</w:t>
      </w:r>
      <w:r>
        <w:rPr>
          <w:rFonts w:ascii="Times New Roman" w:hAnsi="Times New Roman" w:eastAsia="方正仿宋_GBK" w:cs="Times New Roman"/>
          <w:color w:val="000000"/>
          <w:sz w:val="32"/>
          <w:szCs w:val="32"/>
        </w:rPr>
        <w:t>成立黔江区牛产业发展领导小组，由区政府主要领导担任组长，区委、区政府分管领导担任副组长，区委办、区政府办、区发展改革委、区农业农村委、区商务委、区财政局、区乡村振兴局、区规划自然资源局、区生态环境局、区交通局、区市场监管局、区水利局、区林业局、区畜牧发展中心等相关部门主要负责人为成员，领导小组下设办公室在区农业农村委，由区农业农村委主要负责人兼任办公室主任，由区畜牧发展中心处理日常事务。要加快制定牛产业发展规划，建立牛产业发展联席会议制度。各乡镇街道是牛产业发展的主战场，要充分发动群众，依靠社会力量，按照任务指标，抓好落实落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
          <w:color w:val="000000"/>
          <w:sz w:val="32"/>
          <w:szCs w:val="32"/>
        </w:rPr>
      </w:pPr>
      <w:r>
        <w:rPr>
          <w:rFonts w:ascii="Times New Roman" w:hAnsi="Times New Roman" w:eastAsia="方正楷体_GBK" w:cs="Times New Roman"/>
          <w:color w:val="000000"/>
          <w:sz w:val="32"/>
          <w:szCs w:val="32"/>
        </w:rPr>
        <w:t>（二）加大政策扶持。</w:t>
      </w:r>
      <w:bookmarkStart w:id="0" w:name="OLE_LINK1"/>
      <w:bookmarkStart w:id="1" w:name="OLE_LINK2"/>
      <w:r>
        <w:rPr>
          <w:rFonts w:ascii="Times New Roman" w:hAnsi="Times New Roman" w:eastAsia="方正仿宋_GBK" w:cs="Times New Roman"/>
          <w:color w:val="000000"/>
          <w:sz w:val="32"/>
          <w:szCs w:val="32"/>
        </w:rPr>
        <w:t>一是支持标准化肉牛（奶牛）规模养殖场（户）建设、能繁母牛扩群增量、多年生牧草种植以及贷款贴息，具体建设要求、补助标准按照全区农业产业化奖励扶持政策执行。二是加大牛</w:t>
      </w:r>
      <w:r>
        <w:rPr>
          <w:rFonts w:hint="eastAsia" w:ascii="Times New Roman" w:hAnsi="Times New Roman" w:eastAsia="方正仿宋_GBK" w:cs="Times New Roman"/>
          <w:color w:val="000000"/>
          <w:sz w:val="32"/>
          <w:szCs w:val="32"/>
        </w:rPr>
        <w:t>政策性保险</w:t>
      </w:r>
      <w:r>
        <w:rPr>
          <w:rFonts w:ascii="Times New Roman" w:hAnsi="Times New Roman" w:eastAsia="方正仿宋_GBK" w:cs="Times New Roman"/>
          <w:color w:val="000000"/>
          <w:sz w:val="32"/>
          <w:szCs w:val="32"/>
        </w:rPr>
        <w:t>力度，做到应保尽保，积极探索肉牛养殖收益保险和“保险+期货”。三是支持招商引资龙头企业发展，享受黔江区招商引资普惠政策，基础设施配套可实行“一事一议”。</w:t>
      </w:r>
      <w:bookmarkEnd w:id="0"/>
      <w:bookmarkEnd w:id="1"/>
      <w:r>
        <w:rPr>
          <w:rFonts w:ascii="Times New Roman" w:hAnsi="Times New Roman" w:eastAsia="方正仿宋_GBK" w:cs="Times New Roman"/>
          <w:color w:val="000000"/>
          <w:sz w:val="32"/>
          <w:szCs w:val="32"/>
        </w:rPr>
        <w:t>四是用地支持。养殖用地及附属设施可以占用一般耕地，实行耕地“进出平衡”，对大型规模养殖场办理设施农业用地备案的可以分期预存土地复垦费用。五是环保支持。对肉牛及奶牛养殖实行环评分类管理，养殖规模标准以下实行环评登记备案，养殖规模达到限额标准实行编制环境影响评价报告书；支持龙头企业、规模养殖场配套建设环保设施设备，开展粪污综合利用处理。六是基础设施配套支持。按照“基础设施围绕产业转”的原则，积极支持牛产业发展通路、供水建设，对符合条件的养牛场实行电力接入“零上门、零审批、零投资”服务，饲草初加工用电，执行农业生产电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both"/>
        <w:textAlignment w:val="auto"/>
        <w:rPr>
          <w:rFonts w:ascii="Times New Roman" w:hAnsi="Times New Roman" w:eastAsia="方正仿宋_GBK" w:cs="Times New Roman"/>
          <w:color w:val="000000"/>
          <w:kern w:val="0"/>
          <w:sz w:val="32"/>
          <w:szCs w:val="32"/>
          <w:shd w:val="clear" w:color="auto" w:fill="FFFFFF"/>
          <w:lang w:val="en-US" w:eastAsia="zh-CN" w:bidi="ar"/>
        </w:rPr>
      </w:pPr>
      <w:r>
        <w:rPr>
          <w:rFonts w:ascii="Times New Roman" w:hAnsi="Times New Roman" w:eastAsia="方正楷体_GBK" w:cs="Times New Roman"/>
          <w:color w:val="000000"/>
          <w:kern w:val="0"/>
          <w:sz w:val="32"/>
          <w:szCs w:val="32"/>
          <w:shd w:val="clear" w:color="auto" w:fill="FFFFFF"/>
          <w:lang w:val="en-US" w:eastAsia="zh-CN" w:bidi="ar"/>
        </w:rPr>
        <w:t>（三）强化督促考核。</w:t>
      </w:r>
      <w:r>
        <w:rPr>
          <w:rFonts w:ascii="Times New Roman" w:hAnsi="Times New Roman" w:eastAsia="方正仿宋_GBK" w:cs="Times New Roman"/>
          <w:color w:val="000000"/>
          <w:kern w:val="0"/>
          <w:sz w:val="32"/>
          <w:szCs w:val="32"/>
          <w:shd w:val="clear" w:color="auto" w:fill="FFFFFF"/>
          <w:lang w:val="en-US" w:eastAsia="zh-CN" w:bidi="ar"/>
        </w:rPr>
        <w:t>要健全考核机制，将牛产业发展工作纳入相关部门和乡镇年度目标考核内容。要明确相关部门和乡镇具体工作任务和目标，严格督导检查，加强目标管理，强化工作调度，形成推进牛产业快速健康发展的工作合力。</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仿宋_GBK" w:cs="Times New Roman"/>
          <w:color w:val="000000"/>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right="0" w:firstLine="640" w:firstLineChars="200"/>
        <w:jc w:val="left"/>
        <w:textAlignment w:val="auto"/>
        <w:rPr>
          <w:rFonts w:ascii="Times New Roman" w:hAnsi="Times New Roman" w:eastAsia="方正仿宋_GBK" w:cs="Times New Roman"/>
          <w:color w:val="000000"/>
          <w:kern w:val="0"/>
          <w:sz w:val="32"/>
          <w:szCs w:val="32"/>
          <w:shd w:val="clear" w:color="auto" w:fill="FFFFFF"/>
          <w:lang w:val="en-US" w:eastAsia="zh-CN" w:bidi="ar"/>
        </w:rPr>
      </w:pPr>
      <w:r>
        <w:rPr>
          <w:rFonts w:ascii="Times New Roman" w:hAnsi="Times New Roman" w:eastAsia="方正仿宋_GBK" w:cs="Times New Roman"/>
          <w:color w:val="000000"/>
          <w:kern w:val="0"/>
          <w:sz w:val="32"/>
          <w:szCs w:val="32"/>
          <w:shd w:val="clear" w:color="auto" w:fill="FFFFFF"/>
          <w:lang w:val="en-US" w:eastAsia="zh-CN" w:bidi="ar"/>
        </w:rPr>
        <w:t>附件：</w:t>
      </w:r>
      <w:r>
        <w:rPr>
          <w:rFonts w:ascii="Times New Roman" w:hAnsi="Times New Roman" w:eastAsia="方正仿宋_GBK" w:cs="Times New Roman"/>
          <w:color w:val="000000"/>
          <w:kern w:val="2"/>
          <w:sz w:val="32"/>
          <w:szCs w:val="32"/>
          <w:lang w:val="en-US" w:eastAsia="zh-CN" w:bidi="ar"/>
        </w:rPr>
        <w:t>1.黔江区2022</w:t>
      </w:r>
      <w:r>
        <w:rPr>
          <w:rFonts w:ascii="Times New Roman" w:hAnsi="Times New Roman" w:eastAsia="方正仿宋_GBK" w:cs="Times New Roman"/>
          <w:color w:val="000000"/>
          <w:kern w:val="0"/>
          <w:sz w:val="32"/>
          <w:szCs w:val="32"/>
          <w:shd w:val="clear" w:color="auto" w:fill="FFFFFF"/>
          <w:lang w:val="en-US" w:eastAsia="zh-CN" w:bidi="ar"/>
        </w:rPr>
        <w:t>年牛产业发展指导性任务表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1577" w:right="0"/>
        <w:jc w:val="left"/>
        <w:textAlignment w:val="auto"/>
        <w:rPr>
          <w:rFonts w:ascii="Times New Roman" w:hAnsi="Times New Roman" w:eastAsia="方正仿宋_GBK" w:cs="Times New Roman"/>
          <w:color w:val="000000"/>
          <w:kern w:val="0"/>
          <w:sz w:val="32"/>
          <w:szCs w:val="32"/>
          <w:shd w:val="clear" w:color="auto" w:fill="FFFFFF"/>
          <w:lang w:val="en-US" w:eastAsia="zh-CN" w:bidi="ar"/>
        </w:rPr>
      </w:pPr>
      <w:r>
        <w:rPr>
          <w:rFonts w:hint="eastAsia" w:ascii="Times New Roman" w:hAnsi="Times New Roman" w:eastAsia="方正仿宋_GBK" w:cs="Times New Roman"/>
          <w:color w:val="000000"/>
          <w:kern w:val="2"/>
          <w:sz w:val="32"/>
          <w:szCs w:val="32"/>
          <w:lang w:val="en-US" w:eastAsia="zh-CN" w:bidi="ar"/>
        </w:rPr>
        <w:t>2.</w:t>
      </w:r>
      <w:r>
        <w:rPr>
          <w:rFonts w:ascii="Times New Roman" w:hAnsi="Times New Roman" w:eastAsia="方正仿宋_GBK" w:cs="Times New Roman"/>
          <w:color w:val="000000"/>
          <w:kern w:val="2"/>
          <w:sz w:val="32"/>
          <w:szCs w:val="32"/>
          <w:lang w:val="en-US" w:eastAsia="zh-CN" w:bidi="ar"/>
        </w:rPr>
        <w:t>黔江区2026</w:t>
      </w:r>
      <w:r>
        <w:rPr>
          <w:rFonts w:ascii="Times New Roman" w:hAnsi="Times New Roman" w:eastAsia="方正仿宋_GBK" w:cs="Times New Roman"/>
          <w:color w:val="000000"/>
          <w:kern w:val="0"/>
          <w:sz w:val="32"/>
          <w:szCs w:val="32"/>
          <w:shd w:val="clear" w:color="auto" w:fill="FFFFFF"/>
          <w:lang w:val="en-US" w:eastAsia="zh-CN" w:bidi="ar"/>
        </w:rPr>
        <w:t>年牛产业发展指导性任务表</w:t>
      </w:r>
    </w:p>
    <w:p>
      <w:pPr>
        <w:widowControl/>
        <w:shd w:val="clear" w:color="auto" w:fill="FFFFFF"/>
        <w:spacing w:before="100" w:beforeAutospacing="1" w:after="100" w:afterAutospacing="1" w:line="520" w:lineRule="exact"/>
        <w:ind w:left="0" w:right="0"/>
        <w:jc w:val="left"/>
        <w:rPr>
          <w:rFonts w:ascii="Times New Roman" w:hAnsi="Times New Roman" w:eastAsia="方正仿宋_GBK" w:cs="Times New Roman"/>
          <w:color w:val="000000"/>
          <w:kern w:val="0"/>
          <w:sz w:val="32"/>
          <w:szCs w:val="32"/>
          <w:shd w:val="clear" w:color="auto" w:fill="FFFFFF"/>
          <w:lang w:val="en-US" w:eastAsia="zh-CN" w:bidi="ar"/>
        </w:rPr>
      </w:pPr>
    </w:p>
    <w:p>
      <w:pPr>
        <w:rPr>
          <w:rFonts w:ascii="Times New Roman" w:hAnsi="Times New Roman" w:eastAsia="方正黑体_GBK" w:cs="Times New Roman"/>
          <w:color w:val="000000"/>
          <w:sz w:val="32"/>
          <w:szCs w:val="32"/>
        </w:rPr>
      </w:pPr>
    </w:p>
    <w:p>
      <w:pPr>
        <w:rPr>
          <w:rFonts w:ascii="Times New Roman" w:hAnsi="Times New Roman" w:eastAsia="方正黑体_GBK" w:cs="Times New Roman"/>
          <w:color w:val="000000"/>
          <w:sz w:val="32"/>
          <w:szCs w:val="32"/>
        </w:rPr>
      </w:pPr>
    </w:p>
    <w:p>
      <w:pPr>
        <w:rPr>
          <w:rFonts w:ascii="Times New Roman" w:hAnsi="Times New Roman" w:eastAsia="方正黑体_GBK" w:cs="Times New Roman"/>
          <w:color w:val="000000"/>
          <w:sz w:val="32"/>
          <w:szCs w:val="32"/>
        </w:rPr>
      </w:pPr>
    </w:p>
    <w:p>
      <w:pPr>
        <w:rPr>
          <w:rFonts w:ascii="Times New Roman" w:hAnsi="Times New Roman" w:eastAsia="方正黑体_GBK" w:cs="Times New Roman"/>
          <w:color w:val="000000"/>
          <w:sz w:val="32"/>
          <w:szCs w:val="32"/>
        </w:rPr>
      </w:pPr>
    </w:p>
    <w:p>
      <w:pP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spacing w:line="48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黔江区2022年牛产业发展指导性任务表</w:t>
      </w:r>
    </w:p>
    <w:p>
      <w:pPr>
        <w:spacing w:line="480" w:lineRule="exact"/>
        <w:jc w:val="right"/>
        <w:rPr>
          <w:rFonts w:ascii="Times New Roman" w:hAnsi="Times New Roman" w:eastAsia="方正楷体_GBK" w:cs="Times New Roman"/>
          <w:color w:val="000000"/>
          <w:sz w:val="30"/>
          <w:szCs w:val="30"/>
        </w:rPr>
      </w:pPr>
      <w:r>
        <w:rPr>
          <w:rFonts w:ascii="Times New Roman" w:hAnsi="Times New Roman" w:eastAsia="方正楷体_GBK" w:cs="Times New Roman"/>
          <w:color w:val="000000"/>
          <w:sz w:val="30"/>
          <w:szCs w:val="30"/>
        </w:rPr>
        <w:t>单位：头、个</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816"/>
        <w:gridCol w:w="1331"/>
        <w:gridCol w:w="1311"/>
        <w:gridCol w:w="1275"/>
        <w:gridCol w:w="1091"/>
        <w:gridCol w:w="93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320" w:lineRule="exact"/>
              <w:jc w:val="left"/>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乡镇</w:t>
            </w:r>
          </w:p>
        </w:tc>
        <w:tc>
          <w:tcPr>
            <w:tcW w:w="816"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出栏</w:t>
            </w:r>
          </w:p>
        </w:tc>
        <w:tc>
          <w:tcPr>
            <w:tcW w:w="1331"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发展5-20头规模场</w:t>
            </w:r>
          </w:p>
        </w:tc>
        <w:tc>
          <w:tcPr>
            <w:tcW w:w="1311"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发展20-100头规模场</w:t>
            </w:r>
          </w:p>
        </w:tc>
        <w:tc>
          <w:tcPr>
            <w:tcW w:w="1275"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发展100-500头规模场</w:t>
            </w:r>
          </w:p>
        </w:tc>
        <w:tc>
          <w:tcPr>
            <w:tcW w:w="1091"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发展500头以上规模场</w:t>
            </w:r>
          </w:p>
        </w:tc>
        <w:tc>
          <w:tcPr>
            <w:tcW w:w="936"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奶牛场（个）</w:t>
            </w:r>
          </w:p>
        </w:tc>
        <w:tc>
          <w:tcPr>
            <w:tcW w:w="1201" w:type="dxa"/>
            <w:noWrap w:val="0"/>
            <w:vAlign w:val="center"/>
          </w:tcPr>
          <w:p>
            <w:pPr>
              <w:widowControl/>
              <w:spacing w:line="320" w:lineRule="exact"/>
              <w:jc w:val="center"/>
              <w:rPr>
                <w:rFonts w:ascii="Times New Roman" w:hAnsi="Times New Roman" w:eastAsia="方正黑体_GBK" w:cs="Times New Roman"/>
                <w:bCs/>
                <w:color w:val="000000"/>
                <w:kern w:val="0"/>
                <w:sz w:val="24"/>
                <w:szCs w:val="20"/>
              </w:rPr>
            </w:pPr>
            <w:r>
              <w:rPr>
                <w:rFonts w:ascii="Times New Roman" w:hAnsi="Times New Roman" w:eastAsia="方正黑体_GBK" w:cs="Times New Roman"/>
                <w:bCs/>
                <w:color w:val="000000"/>
                <w:kern w:val="0"/>
                <w:sz w:val="24"/>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小南海镇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64</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邻鄂镇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66</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阿蓬江镇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2200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151</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15</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石会镇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123</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12</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黑溪镇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89</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黄溪镇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70</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黎水镇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75</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金溪镇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96</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马喇镇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85</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濯水镇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149</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13</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石家镇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104</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鹅池镇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75</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中塘镇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90</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蓬东乡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45</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沙坝镇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1200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70</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白石镇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2200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94</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杉岭乡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1800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58</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太极镇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72</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水田乡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53</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白土乡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68</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金洞乡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58</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五里镇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1100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68</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7</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水市镇</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1500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87</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新华乡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90</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9</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1</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1" w:type="dxa"/>
            <w:noWrap w:val="0"/>
            <w:vAlign w:val="center"/>
          </w:tcPr>
          <w:p>
            <w:pPr>
              <w:widowControl/>
              <w:spacing w:line="280" w:lineRule="exact"/>
              <w:jc w:val="center"/>
              <w:rPr>
                <w:rFonts w:ascii="Times New Roman" w:hAnsi="Times New Roman" w:eastAsia="方正仿宋_GBK" w:cs="Times New Roman"/>
                <w:bCs/>
                <w:color w:val="000000"/>
                <w:kern w:val="0"/>
                <w:sz w:val="24"/>
                <w:szCs w:val="20"/>
              </w:rPr>
            </w:pPr>
            <w:r>
              <w:rPr>
                <w:rFonts w:ascii="Times New Roman" w:hAnsi="Times New Roman" w:eastAsia="方正仿宋_GBK" w:cs="Times New Roman"/>
                <w:bCs/>
                <w:color w:val="000000"/>
                <w:kern w:val="0"/>
                <w:sz w:val="24"/>
                <w:szCs w:val="20"/>
              </w:rPr>
              <w:t>合 计</w:t>
            </w:r>
          </w:p>
        </w:tc>
        <w:tc>
          <w:tcPr>
            <w:tcW w:w="81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40000</w:t>
            </w:r>
          </w:p>
        </w:tc>
        <w:tc>
          <w:tcPr>
            <w:tcW w:w="133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2000</w:t>
            </w:r>
          </w:p>
        </w:tc>
        <w:tc>
          <w:tcPr>
            <w:tcW w:w="131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200</w:t>
            </w:r>
          </w:p>
        </w:tc>
        <w:tc>
          <w:tcPr>
            <w:tcW w:w="1275"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20</w:t>
            </w:r>
          </w:p>
        </w:tc>
        <w:tc>
          <w:tcPr>
            <w:tcW w:w="109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5</w:t>
            </w:r>
          </w:p>
        </w:tc>
        <w:tc>
          <w:tcPr>
            <w:tcW w:w="936"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2</w:t>
            </w:r>
          </w:p>
        </w:tc>
        <w:tc>
          <w:tcPr>
            <w:tcW w:w="1201" w:type="dxa"/>
            <w:noWrap w:val="0"/>
            <w:vAlign w:val="center"/>
          </w:tcPr>
          <w:p>
            <w:pPr>
              <w:widowControl/>
              <w:spacing w:line="280" w:lineRule="exact"/>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w:t>
            </w:r>
          </w:p>
        </w:tc>
      </w:tr>
    </w:tbl>
    <w:p>
      <w:pPr>
        <w:spacing w:line="600" w:lineRule="exact"/>
        <w:rPr>
          <w:rFonts w:ascii="Times New Roman" w:hAnsi="Times New Roman" w:eastAsia="方正黑体_GBK" w:cs="Times New Roman"/>
          <w:color w:val="000000"/>
          <w:sz w:val="32"/>
          <w:szCs w:val="32"/>
        </w:rPr>
      </w:pPr>
    </w:p>
    <w:p>
      <w:pPr>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附件2</w:t>
      </w:r>
    </w:p>
    <w:p>
      <w:pPr>
        <w:autoSpaceDE w:val="0"/>
        <w:autoSpaceDN w:val="0"/>
        <w:adjustRightInd w:val="0"/>
        <w:spacing w:line="600" w:lineRule="exact"/>
        <w:jc w:val="center"/>
        <w:rPr>
          <w:rFonts w:ascii="Times New Roman" w:hAnsi="Times New Roman" w:eastAsia="方正小标宋_GBK" w:cs="Times New Roman"/>
          <w:bCs/>
          <w:color w:val="000000"/>
          <w:sz w:val="40"/>
          <w:szCs w:val="40"/>
        </w:rPr>
      </w:pPr>
      <w:r>
        <w:rPr>
          <w:rFonts w:ascii="Times New Roman" w:hAnsi="Times New Roman" w:eastAsia="方正小标宋_GBK" w:cs="Times New Roman"/>
          <w:bCs/>
          <w:color w:val="000000"/>
          <w:sz w:val="40"/>
          <w:szCs w:val="40"/>
        </w:rPr>
        <w:t>黔江区2026年牛产业发展指导性任务表</w:t>
      </w:r>
    </w:p>
    <w:p>
      <w:pPr>
        <w:autoSpaceDE w:val="0"/>
        <w:autoSpaceDN w:val="0"/>
        <w:adjustRightInd w:val="0"/>
        <w:spacing w:line="600" w:lineRule="exact"/>
        <w:jc w:val="center"/>
        <w:rPr>
          <w:rFonts w:ascii="Times New Roman" w:hAnsi="Times New Roman" w:eastAsia="方正楷体_GBK" w:cs="Times New Roman"/>
          <w:color w:val="000000"/>
          <w:sz w:val="30"/>
          <w:szCs w:val="30"/>
        </w:rPr>
      </w:pPr>
      <w:r>
        <w:rPr>
          <w:rFonts w:ascii="Times New Roman" w:hAnsi="Times New Roman" w:eastAsia="方正楷体_GBK" w:cs="Times New Roman"/>
          <w:bCs/>
          <w:color w:val="000000"/>
          <w:sz w:val="30"/>
          <w:szCs w:val="30"/>
        </w:rPr>
        <w:t xml:space="preserve">                                           单位：头、个</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902"/>
        <w:gridCol w:w="1080"/>
        <w:gridCol w:w="1220"/>
        <w:gridCol w:w="1420"/>
        <w:gridCol w:w="1080"/>
        <w:gridCol w:w="9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乡镇</w:t>
            </w:r>
          </w:p>
        </w:tc>
        <w:tc>
          <w:tcPr>
            <w:tcW w:w="90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出栏</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累计发展5-20头养殖户</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累计发展20-100头规模场</w:t>
            </w:r>
          </w:p>
        </w:tc>
        <w:tc>
          <w:tcPr>
            <w:tcW w:w="14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累计发展100-500头规模场</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累计发展500头以上规模场</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奶牛存栏（头）</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小南海镇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320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邻鄂镇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3600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330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阿蓬江镇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755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75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石会镇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615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黑溪镇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445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黄溪镇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7500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黎水镇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375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1000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金溪镇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480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马喇镇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425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濯水镇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2600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745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65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石家镇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7000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520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鹅池镇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375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中塘镇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蓬东乡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1900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225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沙坝镇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白石镇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470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1000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杉岭乡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290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太极镇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360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水田乡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900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265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白土乡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2300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340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金洞乡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290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五里镇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340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水市镇</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3700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435</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产业强镇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新华乡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2500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45</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3000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2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b/>
                <w:bCs/>
                <w:color w:val="000000"/>
                <w:kern w:val="0"/>
                <w:sz w:val="24"/>
                <w:szCs w:val="24"/>
              </w:rPr>
            </w:pPr>
            <w:r>
              <w:rPr>
                <w:rFonts w:ascii="Times New Roman" w:hAnsi="Times New Roman" w:eastAsia="方正仿宋_GBK" w:cs="Times New Roman"/>
                <w:color w:val="000000"/>
                <w:kern w:val="0"/>
                <w:sz w:val="24"/>
                <w:szCs w:val="24"/>
              </w:rPr>
              <w:t>合 计</w:t>
            </w:r>
          </w:p>
        </w:tc>
        <w:tc>
          <w:tcPr>
            <w:tcW w:w="90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95000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10000</w:t>
            </w:r>
          </w:p>
        </w:tc>
        <w:tc>
          <w:tcPr>
            <w:tcW w:w="12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1000</w:t>
            </w:r>
          </w:p>
        </w:tc>
        <w:tc>
          <w:tcPr>
            <w:tcW w:w="14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100</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5000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　</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000000"/>
          <w:kern w:val="2"/>
          <w:sz w:val="32"/>
          <w:szCs w:val="24"/>
          <w:lang w:val="en-US" w:eastAsia="zh-CN" w:bidi="ar-SA"/>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A6CB1C1F-291F-46DF-91F9-DC49AF307A67}"/>
  </w:font>
  <w:font w:name="方正仿宋_GBK">
    <w:panose1 w:val="03000509000000000000"/>
    <w:charset w:val="86"/>
    <w:family w:val="script"/>
    <w:pitch w:val="default"/>
    <w:sig w:usb0="00000001" w:usb1="080E0000" w:usb2="00000000" w:usb3="00000000" w:csb0="00040000" w:csb1="00000000"/>
    <w:embedRegular r:id="rId2" w:fontKey="{BF16D2AD-AF4F-4DCE-9ADA-D5B665509E0F}"/>
  </w:font>
  <w:font w:name="方正黑体_GBK">
    <w:panose1 w:val="03000509000000000000"/>
    <w:charset w:val="86"/>
    <w:family w:val="script"/>
    <w:pitch w:val="default"/>
    <w:sig w:usb0="00000001" w:usb1="080E0000" w:usb2="00000000" w:usb3="00000000" w:csb0="00040000" w:csb1="00000000"/>
    <w:embedRegular r:id="rId3" w:fontKey="{38D6D9EB-0244-42ED-A8D2-F4B51C2A5C1B}"/>
  </w:font>
  <w:font w:name="方正楷体_GBK">
    <w:panose1 w:val="03000509000000000000"/>
    <w:charset w:val="86"/>
    <w:family w:val="script"/>
    <w:pitch w:val="default"/>
    <w:sig w:usb0="00000001" w:usb1="080E0000" w:usb2="00000000" w:usb3="00000000" w:csb0="00040000" w:csb1="00000000"/>
    <w:embedRegular r:id="rId4" w:fontKey="{7F1F4A80-2D4E-456E-92EC-E8CFCC044354}"/>
  </w:font>
  <w:font w:name="仿宋">
    <w:panose1 w:val="02010609060101010101"/>
    <w:charset w:val="86"/>
    <w:family w:val="auto"/>
    <w:pitch w:val="default"/>
    <w:sig w:usb0="800002BF" w:usb1="38CF7CFA" w:usb2="00000016" w:usb3="00000000" w:csb0="00040001" w:csb1="00000000"/>
    <w:embedRegular r:id="rId5" w:fontKey="{64121B8B-7F6E-4462-94A7-0F03685764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40005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1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70E0A5C"/>
    <w:rsid w:val="1792392B"/>
    <w:rsid w:val="17C76AD9"/>
    <w:rsid w:val="1833131B"/>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B184523"/>
    <w:rsid w:val="5C11008F"/>
    <w:rsid w:val="612956DC"/>
    <w:rsid w:val="61773FF6"/>
    <w:rsid w:val="6C757CDC"/>
    <w:rsid w:val="70730722"/>
    <w:rsid w:val="721379BE"/>
    <w:rsid w:val="730E31CE"/>
    <w:rsid w:val="74791404"/>
    <w:rsid w:val="777D2475"/>
    <w:rsid w:val="7AFE508C"/>
    <w:rsid w:val="7CE1273E"/>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2">
    <w:name w:val="page number"/>
    <w:basedOn w:val="11"/>
    <w:qFormat/>
    <w:uiPriority w:val="0"/>
    <w:rPr>
      <w:rFonts w:cs="Times New Roman"/>
    </w:rPr>
  </w:style>
  <w:style w:type="paragraph" w:customStyle="1" w:styleId="1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2414</Words>
  <Characters>2599</Characters>
  <Lines>4</Lines>
  <Paragraphs>10</Paragraphs>
  <TotalTime>11</TotalTime>
  <ScaleCrop>false</ScaleCrop>
  <LinksUpToDate>false</LinksUpToDate>
  <CharactersWithSpaces>2701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楊</cp:lastModifiedBy>
  <dcterms:modified xsi:type="dcterms:W3CDTF">2022-06-29T02:41:47Z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DAFBBFD858A346648839B4265C3FD56E</vt:lpwstr>
  </property>
</Properties>
</file>