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792"/>
        </w:tabs>
        <w:spacing w:line="940" w:lineRule="exact"/>
        <w:ind w:left="0" w:leftChars="0" w:right="210" w:rightChars="100" w:firstLine="0" w:firstLineChars="0"/>
        <w:jc w:val="distribute"/>
        <w:rPr>
          <w:rFonts w:ascii="Times New Roman" w:hAnsi="Times New Roman" w:eastAsia="方正小标宋_GBK"/>
          <w:b/>
          <w:w w:val="53"/>
          <w:sz w:val="28"/>
        </w:rPr>
      </w:pPr>
      <w:r>
        <w:rPr>
          <w:rFonts w:hint="eastAsia" w:ascii="Times New Roman" w:hAnsi="Times New Roman" w:eastAsia="方正小标宋_GBK"/>
          <w:b/>
          <w:bCs/>
          <w:color w:val="FF0000"/>
          <w:w w:val="53"/>
          <w:sz w:val="88"/>
          <w:szCs w:val="100"/>
        </w:rPr>
        <w:t>重庆市黔江区人民政府办公室电子公文</w:t>
      </w:r>
    </w:p>
    <w:p>
      <w:pPr>
        <w:ind w:right="640" w:firstLine="210" w:firstLineChars="100"/>
        <w:rPr>
          <w:rFonts w:hint="eastAsia" w:ascii="Times New Roman" w:hAnsi="Times New Roman"/>
          <w:color w:val="000000"/>
          <w:szCs w:val="32"/>
        </w:rPr>
      </w:pPr>
      <w:r>
        <w:rPr>
          <w:rFonts w:hint="eastAsia" w:ascii="Times New Roman" w:hAnsi="Times New Roman"/>
          <w:color w:val="000000"/>
          <w:szCs w:val="32"/>
        </w:rPr>
        <w:t xml:space="preserve">  </w:t>
      </w:r>
    </w:p>
    <w:p>
      <w:pPr>
        <w:adjustRightInd w:val="0"/>
        <w:snapToGrid w:val="0"/>
        <w:spacing w:line="560" w:lineRule="exact"/>
        <w:jc w:val="left"/>
        <w:rPr>
          <w:rFonts w:hint="eastAsia" w:ascii="Times New Roman" w:hAnsi="Times New Roman" w:eastAsia="方正仿宋_GBK" w:cs="方正仿宋_GBK"/>
          <w:color w:val="000000"/>
          <w:sz w:val="32"/>
          <w:szCs w:val="32"/>
        </w:rPr>
      </w:pPr>
      <w:r>
        <w:rPr>
          <w:rFonts w:hint="eastAsia" w:eastAsia="方正仿宋_GBK"/>
          <w:sz w:val="32"/>
          <w:szCs w:val="32"/>
          <w:lang w:val="en-US" w:eastAsia="zh-CN"/>
        </w:rPr>
        <w:t xml:space="preserve">  </w:t>
      </w:r>
      <w:r>
        <w:rPr>
          <w:rFonts w:hint="eastAsia" w:eastAsia="方正仿宋_GBK"/>
          <w:sz w:val="32"/>
          <w:szCs w:val="32"/>
        </w:rPr>
        <w:t>黔江府办发</w:t>
      </w:r>
      <w:r>
        <w:rPr>
          <w:rFonts w:eastAsia="方正仿宋_GBK"/>
          <w:sz w:val="32"/>
          <w:szCs w:val="32"/>
        </w:rPr>
        <w:t>〔2019〕</w:t>
      </w:r>
      <w:r>
        <w:rPr>
          <w:rFonts w:hint="eastAsia" w:eastAsia="方正仿宋_GBK"/>
          <w:sz w:val="32"/>
          <w:szCs w:val="32"/>
          <w:lang w:val="en-US" w:eastAsia="zh-CN"/>
        </w:rPr>
        <w:t>32</w:t>
      </w:r>
      <w:r>
        <w:rPr>
          <w:rFonts w:eastAsia="方正仿宋_GBK"/>
          <w:sz w:val="32"/>
          <w:szCs w:val="32"/>
        </w:rPr>
        <w:t>号</w:t>
      </w:r>
      <w:r>
        <w:rPr>
          <w:rFonts w:hint="eastAsia" w:ascii="Times New Roman" w:hAnsi="Times New Roman" w:eastAsia="方正仿宋_GBK"/>
          <w:sz w:val="32"/>
          <w:szCs w:val="32"/>
          <w:lang w:val="en-US" w:eastAsia="zh-CN"/>
        </w:rPr>
        <w:t xml:space="preserve">      </w:t>
      </w:r>
      <w:r>
        <w:rPr>
          <w:rFonts w:hint="eastAsia"/>
          <w:sz w:val="32"/>
          <w:szCs w:val="32"/>
          <w:lang w:val="en-US" w:eastAsia="zh-CN"/>
        </w:rPr>
        <w:t xml:space="preserve"> </w:t>
      </w:r>
      <w:r>
        <w:rPr>
          <w:rFonts w:hint="eastAsia" w:ascii="Times New Roman" w:hAnsi="Times New Roman" w:eastAsia="方正仿宋_GBK"/>
          <w:sz w:val="32"/>
          <w:szCs w:val="32"/>
          <w:lang w:val="en-US" w:eastAsia="zh-CN"/>
        </w:rPr>
        <w:t xml:space="preserve"> </w:t>
      </w:r>
      <w:r>
        <w:rPr>
          <w:rFonts w:hint="eastAsia" w:ascii="Times New Roman" w:hAnsi="Times New Roman" w:eastAsia="方正仿宋_GBK" w:cs="方正仿宋_GBK"/>
          <w:color w:val="000000"/>
          <w:sz w:val="32"/>
          <w:szCs w:val="32"/>
        </w:rPr>
        <w:t>电子公文专用章</w:t>
      </w:r>
    </w:p>
    <w:p>
      <w:pPr>
        <w:spacing w:line="560" w:lineRule="exact"/>
        <w:jc w:val="center"/>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ab/>
      </w:r>
      <w:r>
        <w:rPr>
          <w:rFonts w:hint="eastAsia" w:ascii="Times New Roman" w:hAnsi="Times New Roman" w:eastAsia="方正仿宋_GBK" w:cs="方正仿宋_GBK"/>
          <w:color w:val="000000"/>
          <w:sz w:val="32"/>
          <w:szCs w:val="32"/>
        </w:rPr>
        <w:tab/>
      </w:r>
      <w:r>
        <w:rPr>
          <w:rFonts w:hint="eastAsia" w:ascii="Times New Roman" w:hAnsi="Times New Roman" w:eastAsia="方正仿宋_GBK" w:cs="方正仿宋_GBK"/>
          <w:color w:val="000000"/>
          <w:sz w:val="32"/>
          <w:szCs w:val="32"/>
        </w:rPr>
        <w:tab/>
      </w:r>
      <w:r>
        <w:rPr>
          <w:rFonts w:hint="eastAsia" w:ascii="Times New Roman" w:hAnsi="Times New Roman" w:eastAsia="方正仿宋_GBK" w:cs="方正仿宋_GBK"/>
          <w:color w:val="000000"/>
          <w:sz w:val="32"/>
          <w:szCs w:val="32"/>
        </w:rPr>
        <w:t xml:space="preserve"> </w:t>
      </w:r>
      <w:r>
        <w:rPr>
          <w:rFonts w:hint="eastAsia" w:ascii="Times New Roman" w:hAnsi="Times New Roman" w:eastAsia="方正仿宋_GBK" w:cs="方正仿宋_GBK"/>
          <w:color w:val="000000"/>
          <w:sz w:val="32"/>
          <w:szCs w:val="32"/>
          <w:lang w:val="en-US" w:eastAsia="zh-CN"/>
        </w:rPr>
        <w:t xml:space="preserve">       </w:t>
      </w:r>
      <w:r>
        <w:rPr>
          <w:rFonts w:hint="eastAsia" w:ascii="Times New Roman" w:hAnsi="Times New Roman" w:eastAsia="方正仿宋_GBK" w:cs="方正仿宋_GBK"/>
          <w:color w:val="000000"/>
          <w:sz w:val="32"/>
          <w:szCs w:val="32"/>
        </w:rPr>
        <w:t>核收：</w:t>
      </w:r>
    </w:p>
    <w:p>
      <w:pPr>
        <w:adjustRightInd w:val="0"/>
        <w:snapToGrid w:val="0"/>
        <w:spacing w:line="560" w:lineRule="exact"/>
        <w:jc w:val="center"/>
        <w:rPr>
          <w:rFonts w:eastAsia="方正小标宋_GBK"/>
          <w:bCs/>
          <w:sz w:val="44"/>
          <w:szCs w:val="44"/>
        </w:rPr>
      </w:pPr>
    </w:p>
    <w:p>
      <w:pPr>
        <w:pStyle w:val="2"/>
      </w:pPr>
    </w:p>
    <w:p>
      <w:pPr>
        <w:snapToGrid w:val="0"/>
        <w:spacing w:line="579" w:lineRule="exact"/>
        <w:jc w:val="center"/>
        <w:rPr>
          <w:rFonts w:eastAsia="方正仿宋_GBK"/>
          <w:sz w:val="32"/>
          <w:szCs w:val="32"/>
        </w:rPr>
      </w:pPr>
      <w:r>
        <w:rPr>
          <w:rFonts w:eastAsia="方正小标宋_GBK"/>
          <w:bCs/>
          <w:sz w:val="44"/>
        </w:rPr>
        <w:t>重庆市黔江区人民政府办公室</w:t>
      </w:r>
    </w:p>
    <w:p>
      <w:pPr>
        <w:adjustRightInd w:val="0"/>
        <w:snapToGrid w:val="0"/>
        <w:spacing w:line="579" w:lineRule="exact"/>
        <w:jc w:val="center"/>
        <w:rPr>
          <w:rFonts w:eastAsia="方正小标宋_GBK"/>
          <w:bCs/>
          <w:sz w:val="44"/>
          <w:szCs w:val="44"/>
        </w:rPr>
      </w:pPr>
      <w:r>
        <w:rPr>
          <w:rFonts w:eastAsia="方正小标宋_GBK"/>
          <w:bCs/>
          <w:sz w:val="44"/>
          <w:szCs w:val="44"/>
        </w:rPr>
        <w:t>关于印发黔江区农业农村污染治理攻坚战</w:t>
      </w:r>
    </w:p>
    <w:p>
      <w:pPr>
        <w:spacing w:line="579" w:lineRule="exact"/>
        <w:jc w:val="center"/>
        <w:rPr>
          <w:rFonts w:eastAsia="方正小标宋_GBK"/>
          <w:bCs/>
          <w:sz w:val="44"/>
          <w:szCs w:val="44"/>
        </w:rPr>
      </w:pPr>
      <w:r>
        <w:rPr>
          <w:rFonts w:eastAsia="方正小标宋_GBK"/>
          <w:bCs/>
          <w:sz w:val="44"/>
          <w:szCs w:val="44"/>
        </w:rPr>
        <w:t>行动计划实施方案的通知</w:t>
      </w:r>
    </w:p>
    <w:p>
      <w:pPr>
        <w:spacing w:line="579" w:lineRule="exact"/>
        <w:rPr>
          <w:rFonts w:eastAsia="方正仿宋_GBK"/>
          <w:sz w:val="32"/>
          <w:szCs w:val="32"/>
        </w:rPr>
      </w:pPr>
    </w:p>
    <w:p>
      <w:pPr>
        <w:spacing w:line="579" w:lineRule="exact"/>
        <w:rPr>
          <w:rFonts w:eastAsia="方正仿宋_GBK"/>
          <w:spacing w:val="-4"/>
          <w:sz w:val="32"/>
          <w:szCs w:val="32"/>
        </w:rPr>
      </w:pPr>
      <w:r>
        <w:rPr>
          <w:rFonts w:eastAsia="方正仿宋_GBK"/>
          <w:bCs/>
          <w:sz w:val="32"/>
          <w:szCs w:val="32"/>
        </w:rPr>
        <w:t>各乡、镇人民政府，各街道办事处，区政府各部门，有关单位：</w:t>
      </w:r>
    </w:p>
    <w:p>
      <w:pPr>
        <w:spacing w:line="579" w:lineRule="exact"/>
        <w:ind w:firstLine="624" w:firstLineChars="200"/>
        <w:rPr>
          <w:rFonts w:eastAsia="方正仿宋_GBK"/>
          <w:spacing w:val="-4"/>
          <w:sz w:val="32"/>
          <w:szCs w:val="32"/>
        </w:rPr>
      </w:pPr>
      <w:r>
        <w:rPr>
          <w:rFonts w:eastAsia="方正仿宋_GBK"/>
          <w:spacing w:val="-4"/>
          <w:sz w:val="32"/>
          <w:szCs w:val="32"/>
        </w:rPr>
        <w:t>《黔江区农业农村污染治理攻坚战行动计划实施方案》已经区政府同意，现印发给你们，请认真组织实施。</w:t>
      </w:r>
    </w:p>
    <w:p>
      <w:pPr>
        <w:spacing w:line="579" w:lineRule="exact"/>
        <w:rPr>
          <w:rFonts w:eastAsia="方正仿宋_GBK"/>
          <w:spacing w:val="-4"/>
          <w:sz w:val="32"/>
          <w:szCs w:val="32"/>
        </w:rPr>
      </w:pPr>
    </w:p>
    <w:p>
      <w:pPr>
        <w:pStyle w:val="2"/>
        <w:spacing w:line="579" w:lineRule="exact"/>
        <w:ind w:firstLine="624"/>
        <w:rPr>
          <w:rFonts w:eastAsia="方正仿宋_GBK"/>
          <w:spacing w:val="-4"/>
          <w:sz w:val="32"/>
          <w:szCs w:val="32"/>
        </w:rPr>
      </w:pPr>
    </w:p>
    <w:p>
      <w:pPr>
        <w:spacing w:line="579" w:lineRule="exact"/>
        <w:rPr>
          <w:rFonts w:hint="eastAsia" w:eastAsia="方正仿宋_GBK"/>
          <w:sz w:val="32"/>
          <w:szCs w:val="32"/>
          <w:lang w:eastAsia="zh-CN"/>
        </w:rPr>
      </w:pPr>
      <w:r>
        <w:rPr>
          <w:rFonts w:eastAsia="方正仿宋_GBK"/>
          <w:sz w:val="32"/>
          <w:szCs w:val="32"/>
        </w:rPr>
        <w:t xml:space="preserve"> </w:t>
      </w:r>
      <w:r>
        <w:rPr>
          <w:sz w:val="32"/>
          <w:szCs w:val="32"/>
        </w:rPr>
        <w:t xml:space="preserve">                       </w:t>
      </w:r>
      <w:r>
        <w:rPr>
          <w:rFonts w:hint="eastAsia"/>
          <w:sz w:val="32"/>
          <w:szCs w:val="32"/>
        </w:rPr>
        <w:t xml:space="preserve"> </w:t>
      </w:r>
      <w:r>
        <w:rPr>
          <w:rFonts w:eastAsia="方正仿宋_GBK"/>
          <w:sz w:val="32"/>
          <w:szCs w:val="32"/>
        </w:rPr>
        <w:t>重庆市黔江区人民政府</w:t>
      </w:r>
      <w:r>
        <w:rPr>
          <w:rFonts w:hint="eastAsia" w:eastAsia="方正仿宋_GBK"/>
          <w:sz w:val="32"/>
          <w:szCs w:val="32"/>
          <w:lang w:eastAsia="zh-CN"/>
        </w:rPr>
        <w:t>办公室</w:t>
      </w:r>
    </w:p>
    <w:p>
      <w:pPr>
        <w:spacing w:line="579" w:lineRule="exact"/>
        <w:rPr>
          <w:rFonts w:eastAsia="方正仿宋_GBK"/>
          <w:sz w:val="32"/>
          <w:szCs w:val="32"/>
        </w:rPr>
      </w:pPr>
      <w:r>
        <w:rPr>
          <w:rFonts w:eastAsia="方正仿宋_GBK"/>
          <w:sz w:val="32"/>
          <w:szCs w:val="32"/>
        </w:rPr>
        <w:t xml:space="preserve">                             </w:t>
      </w:r>
      <w:r>
        <w:rPr>
          <w:rFonts w:hint="eastAsia" w:eastAsia="方正仿宋_GBK"/>
          <w:sz w:val="32"/>
          <w:szCs w:val="32"/>
        </w:rPr>
        <w:t xml:space="preserve"> </w:t>
      </w:r>
      <w:r>
        <w:rPr>
          <w:sz w:val="32"/>
          <w:szCs w:val="32"/>
        </w:rPr>
        <w:t xml:space="preserve"> </w:t>
      </w:r>
      <w:r>
        <w:rPr>
          <w:rFonts w:eastAsia="方正仿宋_GBK"/>
          <w:sz w:val="32"/>
          <w:szCs w:val="32"/>
        </w:rPr>
        <w:t xml:space="preserve"> 2019年</w:t>
      </w:r>
      <w:r>
        <w:rPr>
          <w:sz w:val="32"/>
          <w:szCs w:val="32"/>
        </w:rPr>
        <w:t>6</w:t>
      </w:r>
      <w:r>
        <w:rPr>
          <w:rFonts w:eastAsia="方正仿宋_GBK"/>
          <w:sz w:val="32"/>
          <w:szCs w:val="32"/>
        </w:rPr>
        <w:t>月</w:t>
      </w:r>
      <w:r>
        <w:rPr>
          <w:rFonts w:hint="eastAsia"/>
          <w:sz w:val="32"/>
          <w:szCs w:val="32"/>
        </w:rPr>
        <w:t>25</w:t>
      </w:r>
      <w:r>
        <w:rPr>
          <w:rFonts w:eastAsia="方正仿宋_GBK"/>
          <w:sz w:val="32"/>
          <w:szCs w:val="32"/>
        </w:rPr>
        <w:t xml:space="preserve">日        </w:t>
      </w:r>
    </w:p>
    <w:p>
      <w:pPr>
        <w:spacing w:line="579" w:lineRule="exact"/>
        <w:rPr>
          <w:rFonts w:eastAsia="方正仿宋_GBK"/>
          <w:sz w:val="32"/>
          <w:szCs w:val="32"/>
        </w:rPr>
      </w:pPr>
      <w:r>
        <w:rPr>
          <w:rFonts w:eastAsia="方正仿宋_GBK"/>
          <w:sz w:val="32"/>
          <w:szCs w:val="32"/>
        </w:rPr>
        <w:t xml:space="preserve">  （此件公开发布）  </w:t>
      </w:r>
    </w:p>
    <w:p>
      <w:pPr>
        <w:adjustRightInd w:val="0"/>
        <w:snapToGrid w:val="0"/>
        <w:spacing w:line="640" w:lineRule="exact"/>
        <w:jc w:val="center"/>
        <w:rPr>
          <w:rFonts w:eastAsia="方正小标宋_GBK"/>
          <w:sz w:val="44"/>
          <w:szCs w:val="44"/>
        </w:rPr>
      </w:pPr>
    </w:p>
    <w:p>
      <w:pPr>
        <w:adjustRightInd w:val="0"/>
        <w:snapToGrid w:val="0"/>
        <w:spacing w:line="640" w:lineRule="exact"/>
        <w:jc w:val="center"/>
        <w:rPr>
          <w:rFonts w:eastAsia="方正小标宋_GBK"/>
          <w:sz w:val="44"/>
          <w:szCs w:val="44"/>
        </w:rPr>
      </w:pPr>
    </w:p>
    <w:p>
      <w:pPr>
        <w:adjustRightInd w:val="0"/>
        <w:snapToGrid w:val="0"/>
        <w:spacing w:line="640" w:lineRule="exact"/>
        <w:jc w:val="center"/>
        <w:rPr>
          <w:rFonts w:eastAsia="方正小标宋_GBK"/>
          <w:sz w:val="44"/>
          <w:szCs w:val="44"/>
        </w:rPr>
      </w:pPr>
    </w:p>
    <w:p>
      <w:pPr>
        <w:adjustRightInd w:val="0"/>
        <w:snapToGrid w:val="0"/>
        <w:spacing w:line="640" w:lineRule="exact"/>
        <w:jc w:val="center"/>
        <w:rPr>
          <w:rFonts w:eastAsia="方正小标宋_GBK"/>
          <w:sz w:val="44"/>
          <w:szCs w:val="44"/>
        </w:rPr>
      </w:pPr>
    </w:p>
    <w:p>
      <w:pPr>
        <w:adjustRightInd w:val="0"/>
        <w:snapToGrid w:val="0"/>
        <w:spacing w:line="640" w:lineRule="exact"/>
        <w:jc w:val="center"/>
        <w:rPr>
          <w:rFonts w:eastAsia="方正小标宋_GBK"/>
          <w:sz w:val="44"/>
          <w:szCs w:val="44"/>
        </w:rPr>
      </w:pPr>
      <w:r>
        <w:rPr>
          <w:rFonts w:eastAsia="方正小标宋_GBK"/>
          <w:sz w:val="44"/>
          <w:szCs w:val="44"/>
        </w:rPr>
        <w:t>黔江区农业农村污染治理攻坚战行动计划</w:t>
      </w:r>
    </w:p>
    <w:p>
      <w:pPr>
        <w:adjustRightInd w:val="0"/>
        <w:snapToGrid w:val="0"/>
        <w:spacing w:line="640" w:lineRule="exact"/>
        <w:jc w:val="center"/>
        <w:rPr>
          <w:rFonts w:eastAsia="方正小标宋_GBK"/>
          <w:sz w:val="44"/>
          <w:szCs w:val="44"/>
        </w:rPr>
      </w:pPr>
      <w:r>
        <w:rPr>
          <w:rFonts w:eastAsia="方正小标宋_GBK"/>
          <w:sz w:val="44"/>
          <w:szCs w:val="44"/>
        </w:rPr>
        <w:t>实施方案</w:t>
      </w:r>
    </w:p>
    <w:p>
      <w:pPr>
        <w:adjustRightInd w:val="0"/>
        <w:snapToGrid w:val="0"/>
        <w:spacing w:line="640" w:lineRule="exact"/>
        <w:ind w:firstLine="640" w:firstLineChars="200"/>
        <w:rPr>
          <w:rFonts w:eastAsia="方正仿宋_GBK"/>
          <w:sz w:val="32"/>
          <w:szCs w:val="32"/>
        </w:rPr>
      </w:pPr>
    </w:p>
    <w:p>
      <w:pPr>
        <w:adjustRightInd w:val="0"/>
        <w:snapToGrid w:val="0"/>
        <w:spacing w:line="640" w:lineRule="exact"/>
        <w:ind w:firstLine="640" w:firstLineChars="200"/>
        <w:rPr>
          <w:rFonts w:eastAsia="方正仿宋_GBK"/>
          <w:sz w:val="32"/>
          <w:szCs w:val="32"/>
        </w:rPr>
      </w:pPr>
      <w:r>
        <w:rPr>
          <w:rFonts w:eastAsia="方正仿宋_GBK"/>
          <w:sz w:val="32"/>
          <w:szCs w:val="32"/>
        </w:rPr>
        <w:t>农业农村污染治理，是实施乡村振兴战略的重要任务，事关全面建成小康社会，事关农村生态文明建设。为贯彻落实生态环境部、农业农村部印发的《农业农村污染治理攻坚战行动计划》（环土壤〔2018〕143号）和市生态环境局、市农业农村委印发的《重庆市农业农村污染治理攻坚战行动计划实施方案》（渝环函〔2019〕119号），</w:t>
      </w:r>
      <w:r>
        <w:rPr>
          <w:rFonts w:hint="eastAsia" w:eastAsia="方正仿宋_GBK"/>
          <w:sz w:val="32"/>
          <w:szCs w:val="32"/>
        </w:rPr>
        <w:t>打赢</w:t>
      </w:r>
      <w:r>
        <w:rPr>
          <w:rFonts w:eastAsia="方正仿宋_GBK"/>
          <w:sz w:val="32"/>
          <w:szCs w:val="32"/>
        </w:rPr>
        <w:t>打好农业农村污染治理攻坚战，加快解决我区农业农村突出环境问题，特制定本方案。</w:t>
      </w:r>
    </w:p>
    <w:p>
      <w:pPr>
        <w:adjustRightInd w:val="0"/>
        <w:snapToGrid w:val="0"/>
        <w:spacing w:line="640" w:lineRule="exact"/>
        <w:ind w:firstLine="640" w:firstLineChars="200"/>
        <w:rPr>
          <w:rFonts w:eastAsia="方正黑体_GBK"/>
          <w:sz w:val="32"/>
          <w:szCs w:val="32"/>
        </w:rPr>
      </w:pPr>
      <w:r>
        <w:rPr>
          <w:rFonts w:eastAsia="方正黑体_GBK"/>
          <w:sz w:val="32"/>
          <w:szCs w:val="32"/>
        </w:rPr>
        <w:t>一、总体要求</w:t>
      </w:r>
    </w:p>
    <w:p>
      <w:pPr>
        <w:adjustRightInd w:val="0"/>
        <w:snapToGrid w:val="0"/>
        <w:spacing w:line="64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（一）指导思想</w:t>
      </w:r>
    </w:p>
    <w:p>
      <w:pPr>
        <w:adjustRightInd w:val="0"/>
        <w:snapToGrid w:val="0"/>
        <w:spacing w:line="640" w:lineRule="exact"/>
        <w:ind w:firstLine="640" w:firstLineChars="200"/>
        <w:rPr>
          <w:rFonts w:eastAsia="方正仿宋_GBK"/>
          <w:sz w:val="32"/>
          <w:szCs w:val="32"/>
        </w:rPr>
      </w:pPr>
      <w:r>
        <w:rPr>
          <w:rFonts w:eastAsia="方正仿宋_GBK"/>
          <w:sz w:val="32"/>
          <w:szCs w:val="32"/>
        </w:rPr>
        <w:t>深入贯彻习近平新时代中国特色社会主义思想</w:t>
      </w:r>
      <w:r>
        <w:rPr>
          <w:rFonts w:hint="eastAsia" w:eastAsia="方正仿宋_GBK"/>
          <w:sz w:val="32"/>
          <w:szCs w:val="32"/>
        </w:rPr>
        <w:t>和</w:t>
      </w:r>
      <w:r>
        <w:rPr>
          <w:rFonts w:eastAsia="方正仿宋_GBK"/>
          <w:sz w:val="32"/>
          <w:szCs w:val="32"/>
        </w:rPr>
        <w:t>党的十九大</w:t>
      </w:r>
      <w:r>
        <w:rPr>
          <w:rFonts w:hint="eastAsia" w:eastAsia="方正仿宋_GBK"/>
          <w:sz w:val="32"/>
          <w:szCs w:val="32"/>
        </w:rPr>
        <w:t>、</w:t>
      </w:r>
      <w:r>
        <w:rPr>
          <w:rFonts w:eastAsia="方正仿宋_GBK"/>
          <w:sz w:val="32"/>
          <w:szCs w:val="32"/>
        </w:rPr>
        <w:t>十九届二中、三中全会精神，紧紧围绕习近平总书记对重庆提出的“两点”定位、“两地”“两高”目标和营造良好政治生态、做到“四个扎实”</w:t>
      </w:r>
      <w:r>
        <w:rPr>
          <w:rFonts w:hint="eastAsia" w:eastAsia="方正仿宋_GBK"/>
          <w:sz w:val="32"/>
          <w:szCs w:val="32"/>
        </w:rPr>
        <w:t>、发挥“三个作用”</w:t>
      </w:r>
      <w:r>
        <w:rPr>
          <w:rFonts w:eastAsia="方正仿宋_GBK"/>
          <w:sz w:val="32"/>
          <w:szCs w:val="32"/>
        </w:rPr>
        <w:t>的重要指示要求，认真贯彻落实全国生态环境保护大会精神以及中共中央</w:t>
      </w:r>
      <w:r>
        <w:rPr>
          <w:rFonts w:hint="eastAsia" w:eastAsia="方正仿宋_GBK"/>
          <w:sz w:val="32"/>
          <w:szCs w:val="32"/>
          <w:lang w:eastAsia="zh-CN"/>
        </w:rPr>
        <w:t>、</w:t>
      </w:r>
      <w:r>
        <w:rPr>
          <w:rFonts w:eastAsia="方正仿宋_GBK"/>
          <w:sz w:val="32"/>
          <w:szCs w:val="32"/>
        </w:rPr>
        <w:t>国务院《关于全面加强生态环境坚决打好污染防治攻坚战的意见》，</w:t>
      </w:r>
      <w:r>
        <w:rPr>
          <w:rFonts w:hint="eastAsia" w:eastAsia="方正仿宋_GBK"/>
          <w:sz w:val="32"/>
          <w:szCs w:val="32"/>
        </w:rPr>
        <w:t>大力</w:t>
      </w:r>
      <w:r>
        <w:rPr>
          <w:rFonts w:eastAsia="方正仿宋_GBK"/>
          <w:sz w:val="32"/>
          <w:szCs w:val="32"/>
        </w:rPr>
        <w:t>实施乡村振兴战略，强化污染治理、循环利用和生态保护，深入推进农村人居环境整治和农业投入品减量化、生态清洁化、废弃物资源化、产业模式生态化，突出重点区域，动员各方力量，强化各项举措，补齐农业农村生态环境保护突出短板，充分调动农民群众积极性、主动性，进一步增强广大农民的获得感和幸福感，加快建设山清水秀美丽黔江，为全面建成小康社会打下坚实基础。</w:t>
      </w:r>
    </w:p>
    <w:p>
      <w:pPr>
        <w:adjustRightInd w:val="0"/>
        <w:snapToGrid w:val="0"/>
        <w:spacing w:line="640" w:lineRule="exact"/>
        <w:ind w:firstLine="640" w:firstLineChars="200"/>
        <w:rPr>
          <w:rFonts w:ascii="方正楷体_GBK" w:hAnsi="方正楷体_GBK" w:eastAsia="方正楷体_GBK" w:cs="方正楷体_GBK"/>
          <w:sz w:val="32"/>
          <w:szCs w:val="32"/>
        </w:rPr>
      </w:pPr>
      <w:r>
        <w:rPr>
          <w:rFonts w:ascii="方正楷体_GBK" w:hAnsi="方正楷体_GBK" w:eastAsia="方正楷体_GBK" w:cs="方正楷体_GBK"/>
          <w:sz w:val="32"/>
          <w:szCs w:val="32"/>
        </w:rPr>
        <w:t>（二）基本原则</w:t>
      </w:r>
    </w:p>
    <w:p>
      <w:pPr>
        <w:adjustRightInd w:val="0"/>
        <w:snapToGrid w:val="0"/>
        <w:spacing w:line="640" w:lineRule="exact"/>
        <w:ind w:firstLine="640" w:firstLineChars="200"/>
        <w:rPr>
          <w:rFonts w:eastAsia="方正仿宋_GBK"/>
          <w:sz w:val="32"/>
          <w:szCs w:val="32"/>
        </w:rPr>
      </w:pPr>
      <w:r>
        <w:rPr>
          <w:rFonts w:eastAsia="方正仿宋_GBK"/>
          <w:sz w:val="32"/>
          <w:szCs w:val="32"/>
        </w:rPr>
        <w:t>——保护优先、绿色发展。编制实施国土空间规划，严格生态保护红线管控，统筹农村生产、生活和生态空间，优化种植和养殖生产布局、规模和结构，强化环境监管，推动农业绿色发展，从源头减少农业面源污染。</w:t>
      </w:r>
    </w:p>
    <w:p>
      <w:pPr>
        <w:adjustRightInd w:val="0"/>
        <w:snapToGrid w:val="0"/>
        <w:spacing w:line="640" w:lineRule="exact"/>
        <w:ind w:firstLine="640" w:firstLineChars="200"/>
        <w:rPr>
          <w:rFonts w:eastAsia="方正仿宋_GBK"/>
          <w:sz w:val="32"/>
          <w:szCs w:val="32"/>
        </w:rPr>
      </w:pPr>
      <w:r>
        <w:rPr>
          <w:rFonts w:eastAsia="方正仿宋_GBK"/>
          <w:sz w:val="32"/>
          <w:szCs w:val="32"/>
        </w:rPr>
        <w:t>——问题导向、系统施治。坚持优先解决农民群众最关心最直接最现实的突出环境问题，重点开展农村饮用水水源保护、生活垃圾污水治理、养殖业和种植业污染防治。统筹实施污染治理、循环利用和脱贫攻坚，系统推进农业投入品减量化、生产清洁化、废弃物资源化、产业模式生态化。</w:t>
      </w:r>
    </w:p>
    <w:p>
      <w:pPr>
        <w:adjustRightInd w:val="0"/>
        <w:snapToGrid w:val="0"/>
        <w:spacing w:line="640" w:lineRule="exact"/>
        <w:ind w:firstLine="640" w:firstLineChars="200"/>
        <w:rPr>
          <w:rFonts w:eastAsia="方正仿宋_GBK"/>
          <w:sz w:val="32"/>
          <w:szCs w:val="32"/>
        </w:rPr>
      </w:pPr>
      <w:r>
        <w:rPr>
          <w:rFonts w:eastAsia="方正仿宋_GBK"/>
          <w:sz w:val="32"/>
          <w:szCs w:val="32"/>
        </w:rPr>
        <w:t>——因地制宜、实事求是。根据环境质量、自然条件、经济水平和农民期盼，科学确定本地区整治目标任务，既尽力而为，又量力而行，集中力量解决突出环境问题。坚持从实际出发，采用适用的治理技术和模式，注重实效，不搞</w:t>
      </w:r>
      <w:r>
        <w:rPr>
          <w:rFonts w:hint="eastAsia" w:eastAsia="方正仿宋_GBK"/>
          <w:sz w:val="32"/>
          <w:szCs w:val="32"/>
          <w:lang w:eastAsia="zh-CN"/>
        </w:rPr>
        <w:t>“</w:t>
      </w:r>
      <w:r>
        <w:rPr>
          <w:rFonts w:eastAsia="方正仿宋_GBK"/>
          <w:sz w:val="32"/>
          <w:szCs w:val="32"/>
        </w:rPr>
        <w:t>一刀切</w:t>
      </w:r>
      <w:r>
        <w:rPr>
          <w:rFonts w:hint="eastAsia" w:eastAsia="方正仿宋_GBK"/>
          <w:sz w:val="32"/>
          <w:szCs w:val="32"/>
          <w:lang w:eastAsia="zh-CN"/>
        </w:rPr>
        <w:t>”</w:t>
      </w:r>
      <w:r>
        <w:rPr>
          <w:rFonts w:eastAsia="方正仿宋_GBK"/>
          <w:sz w:val="32"/>
          <w:szCs w:val="32"/>
        </w:rPr>
        <w:t>，不搞形式主义。</w:t>
      </w:r>
    </w:p>
    <w:p>
      <w:pPr>
        <w:adjustRightInd w:val="0"/>
        <w:snapToGrid w:val="0"/>
        <w:spacing w:line="640" w:lineRule="exact"/>
        <w:ind w:firstLine="640" w:firstLineChars="200"/>
        <w:rPr>
          <w:rFonts w:eastAsia="方正仿宋_GBK"/>
          <w:sz w:val="32"/>
          <w:szCs w:val="32"/>
        </w:rPr>
      </w:pPr>
      <w:r>
        <w:rPr>
          <w:rFonts w:eastAsia="方正仿宋_GBK"/>
          <w:sz w:val="32"/>
          <w:szCs w:val="32"/>
        </w:rPr>
        <w:t>——落实责任、形成合力。强化各级</w:t>
      </w:r>
      <w:r>
        <w:rPr>
          <w:rFonts w:hint="eastAsia" w:eastAsia="方正仿宋_GBK"/>
          <w:sz w:val="32"/>
          <w:szCs w:val="32"/>
        </w:rPr>
        <w:t>各部门</w:t>
      </w:r>
      <w:r>
        <w:rPr>
          <w:rFonts w:eastAsia="方正仿宋_GBK"/>
          <w:sz w:val="32"/>
          <w:szCs w:val="32"/>
        </w:rPr>
        <w:t>责任，充分发挥市场主体作用，调动村委会等基层组织和农民的积极性，切实加强统筹协调，加大投入力度，强化监督考核，建立上下联动、部门协作、责权清晰、监管有效的工作推进机制。</w:t>
      </w:r>
    </w:p>
    <w:p>
      <w:pPr>
        <w:adjustRightInd w:val="0"/>
        <w:snapToGrid w:val="0"/>
        <w:spacing w:line="64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w:t>
      </w:r>
      <w:r>
        <w:rPr>
          <w:rFonts w:ascii="方正楷体_GBK" w:hAnsi="方正楷体_GBK" w:eastAsia="方正楷体_GBK" w:cs="方正楷体_GBK"/>
          <w:sz w:val="32"/>
          <w:szCs w:val="32"/>
        </w:rPr>
        <w:t>行动目标</w:t>
      </w:r>
    </w:p>
    <w:p>
      <w:pPr>
        <w:adjustRightInd w:val="0"/>
        <w:snapToGrid w:val="0"/>
        <w:spacing w:line="640" w:lineRule="exact"/>
        <w:ind w:firstLine="640" w:firstLineChars="200"/>
        <w:rPr>
          <w:rFonts w:eastAsia="方正仿宋_GBK"/>
          <w:sz w:val="32"/>
          <w:szCs w:val="32"/>
        </w:rPr>
      </w:pPr>
      <w:r>
        <w:rPr>
          <w:rFonts w:eastAsia="方正仿宋_GBK"/>
          <w:sz w:val="32"/>
          <w:szCs w:val="32"/>
        </w:rPr>
        <w:t>通过三年攻坚，加快推进乡村绿色发展，农村生态环境明显好转，农业农村污染治理工作体制机制基本形成，农业农村环境监管明显加强，农村居民参与农业农村环境保护的积极性和主动性显著增强。到2020年，实现“一保</w:t>
      </w:r>
      <w:r>
        <w:rPr>
          <w:rFonts w:hint="eastAsia" w:eastAsia="方正仿宋_GBK"/>
          <w:sz w:val="32"/>
          <w:szCs w:val="32"/>
        </w:rPr>
        <w:t>、</w:t>
      </w:r>
      <w:r>
        <w:rPr>
          <w:rFonts w:eastAsia="方正仿宋_GBK"/>
          <w:sz w:val="32"/>
          <w:szCs w:val="32"/>
        </w:rPr>
        <w:t>两治</w:t>
      </w:r>
      <w:r>
        <w:rPr>
          <w:rFonts w:hint="eastAsia" w:eastAsia="方正仿宋_GBK"/>
          <w:sz w:val="32"/>
          <w:szCs w:val="32"/>
        </w:rPr>
        <w:t>、</w:t>
      </w:r>
      <w:r>
        <w:rPr>
          <w:rFonts w:eastAsia="方正仿宋_GBK"/>
          <w:sz w:val="32"/>
          <w:szCs w:val="32"/>
        </w:rPr>
        <w:t>三减</w:t>
      </w:r>
      <w:r>
        <w:rPr>
          <w:rFonts w:hint="eastAsia" w:eastAsia="方正仿宋_GBK"/>
          <w:sz w:val="32"/>
          <w:szCs w:val="32"/>
        </w:rPr>
        <w:t>、</w:t>
      </w:r>
      <w:r>
        <w:rPr>
          <w:rFonts w:eastAsia="方正仿宋_GBK"/>
          <w:sz w:val="32"/>
          <w:szCs w:val="32"/>
        </w:rPr>
        <w:t>四提升”：“一保”，即保护农村饮用水水源，农村饮水安全更有保障；“两治”，即治理农村生活垃圾和污水，实现村庄环境干净整洁有序；“三减”，即减少化肥、农药使用量和农业用水总量；“四提升”，即提升主要由农业面源污染造成的超标水体水质、农业废弃物综合利用率、环境监管能力和农村居民参与度。</w:t>
      </w:r>
    </w:p>
    <w:p>
      <w:pPr>
        <w:adjustRightInd w:val="0"/>
        <w:snapToGrid w:val="0"/>
        <w:spacing w:line="640" w:lineRule="exact"/>
        <w:ind w:firstLine="640" w:firstLineChars="200"/>
        <w:rPr>
          <w:rFonts w:ascii="方正楷体_GBK" w:hAnsi="方正楷体_GBK" w:eastAsia="方正楷体_GBK" w:cs="方正楷体_GBK"/>
          <w:sz w:val="32"/>
          <w:szCs w:val="32"/>
        </w:rPr>
      </w:pPr>
      <w:r>
        <w:rPr>
          <w:rFonts w:ascii="方正楷体_GBK" w:hAnsi="方正楷体_GBK" w:eastAsia="方正楷体_GBK" w:cs="方正楷体_GBK"/>
          <w:sz w:val="32"/>
          <w:szCs w:val="32"/>
        </w:rPr>
        <w:t>（四）实施步骤</w:t>
      </w:r>
    </w:p>
    <w:p>
      <w:pPr>
        <w:adjustRightInd w:val="0"/>
        <w:snapToGrid w:val="0"/>
        <w:spacing w:line="640" w:lineRule="exact"/>
        <w:ind w:firstLine="640" w:firstLineChars="200"/>
        <w:rPr>
          <w:rFonts w:eastAsia="方正仿宋_GBK"/>
          <w:sz w:val="32"/>
          <w:szCs w:val="32"/>
        </w:rPr>
      </w:pPr>
      <w:r>
        <w:rPr>
          <w:rFonts w:eastAsia="方正仿宋_GBK"/>
          <w:sz w:val="32"/>
          <w:szCs w:val="32"/>
        </w:rPr>
        <w:t>按照“先易后难、先点后面、示范引领”的要求，2019年，</w:t>
      </w:r>
      <w:r>
        <w:rPr>
          <w:rFonts w:hint="eastAsia" w:eastAsia="方正仿宋_GBK"/>
          <w:sz w:val="32"/>
          <w:szCs w:val="32"/>
        </w:rPr>
        <w:t>把</w:t>
      </w:r>
      <w:r>
        <w:rPr>
          <w:rFonts w:eastAsia="方正仿宋_GBK"/>
          <w:sz w:val="32"/>
          <w:szCs w:val="32"/>
        </w:rPr>
        <w:t>金溪镇、中塘乡作为黔江区农业农村污染治理示范乡镇，总结提炼经验和做法，再逐步进行全区域推广。</w:t>
      </w:r>
    </w:p>
    <w:p>
      <w:pPr>
        <w:adjustRightInd w:val="0"/>
        <w:snapToGrid w:val="0"/>
        <w:spacing w:line="640" w:lineRule="exact"/>
        <w:ind w:firstLine="640" w:firstLineChars="200"/>
        <w:rPr>
          <w:rFonts w:eastAsia="方正黑体_GBK"/>
          <w:sz w:val="32"/>
          <w:szCs w:val="32"/>
        </w:rPr>
      </w:pPr>
      <w:r>
        <w:rPr>
          <w:rFonts w:eastAsia="方正黑体_GBK"/>
          <w:sz w:val="32"/>
          <w:szCs w:val="32"/>
        </w:rPr>
        <w:t>二、主要任务</w:t>
      </w:r>
    </w:p>
    <w:p>
      <w:pPr>
        <w:adjustRightInd w:val="0"/>
        <w:snapToGrid w:val="0"/>
        <w:spacing w:line="640" w:lineRule="exact"/>
        <w:ind w:firstLine="640" w:firstLineChars="200"/>
        <w:rPr>
          <w:rFonts w:ascii="方正楷体_GBK" w:hAnsi="方正楷体_GBK" w:eastAsia="方正楷体_GBK" w:cs="方正楷体_GBK"/>
          <w:sz w:val="32"/>
          <w:szCs w:val="32"/>
        </w:rPr>
      </w:pPr>
      <w:r>
        <w:rPr>
          <w:rFonts w:ascii="方正楷体_GBK" w:hAnsi="方正楷体_GBK" w:eastAsia="方正楷体_GBK" w:cs="方正楷体_GBK"/>
          <w:sz w:val="32"/>
          <w:szCs w:val="32"/>
        </w:rPr>
        <w:t>（一）加强农村饮用水水源保护</w:t>
      </w:r>
    </w:p>
    <w:p>
      <w:pPr>
        <w:adjustRightInd w:val="0"/>
        <w:snapToGrid w:val="0"/>
        <w:spacing w:line="640" w:lineRule="exact"/>
        <w:ind w:firstLine="640" w:firstLineChars="200"/>
        <w:rPr>
          <w:rFonts w:eastAsia="方正仿宋_GBK"/>
          <w:sz w:val="32"/>
          <w:szCs w:val="32"/>
        </w:rPr>
      </w:pPr>
      <w:r>
        <w:rPr>
          <w:rFonts w:eastAsia="方正仿宋_GBK"/>
          <w:sz w:val="32"/>
          <w:szCs w:val="32"/>
        </w:rPr>
        <w:t>1.加快农村饮用水水源调查评估和保护区划定。加快开展农村饮用水水源环境状况调查评估和保护区的划定，2020年年底前，完成石会镇老窖溪水库石会水厂水源地环境状况调查评估和规范化建设工作；基本完成34个供水人口在1000人以上的农村集中式饮用水水源保护区划定，设立保护区界标、交通警示牌和宣传牌等标志。加强集中式饮用水水源保护区管理，依法清理保护区内违法建筑和排污口，到2020年，乡镇集中式饮用水水源地水质达标率达到86%以上。加强饮用水水源保护宣传教育，引导村民参与农村饮用水水源保护，将饮用水水源保护要求和村民应承担的保护责任纳入村规民约。（区生态环境局牵头，区水利局等部门按照职责分工负责，各乡镇街道负责落实。以下均需各乡镇街道落实，不再</w:t>
      </w:r>
      <w:r>
        <w:rPr>
          <w:rFonts w:hint="eastAsia" w:eastAsia="方正仿宋_GBK"/>
          <w:sz w:val="32"/>
          <w:szCs w:val="32"/>
        </w:rPr>
        <w:t>逐一</w:t>
      </w:r>
      <w:r>
        <w:rPr>
          <w:rFonts w:eastAsia="方正仿宋_GBK"/>
          <w:sz w:val="32"/>
          <w:szCs w:val="32"/>
        </w:rPr>
        <w:t>列出）</w:t>
      </w:r>
    </w:p>
    <w:p>
      <w:pPr>
        <w:adjustRightInd w:val="0"/>
        <w:snapToGrid w:val="0"/>
        <w:spacing w:line="640" w:lineRule="exact"/>
        <w:ind w:firstLine="640" w:firstLineChars="200"/>
        <w:rPr>
          <w:rFonts w:eastAsia="方正仿宋_GBK"/>
          <w:sz w:val="32"/>
          <w:szCs w:val="32"/>
        </w:rPr>
      </w:pPr>
      <w:r>
        <w:rPr>
          <w:rFonts w:eastAsia="方正仿宋_GBK"/>
          <w:sz w:val="32"/>
          <w:szCs w:val="32"/>
        </w:rPr>
        <w:t>2.加强农村饮用水水质监测。严格按要求对行政区域内饮用水水源、供水单位供水、用户水龙头出水的水质等饮用水安全状况进行监测和评估，并向社会公开饮用水安全状况信息。加强农村饮用水取水、制水、供水水质全过程监管，落实水源保护、工程建设、水质监测检测“三同时”制度，实施从源头到水龙头全过程控制。加强农村饮用水水源监测，石会镇老窖溪水库石会水厂水源地每季度监测一次，其余33个在用农村集中式水源地每年监测一次。（区生态环境局、区水利局、区卫生健康委等部门按照职责分工负责）</w:t>
      </w:r>
    </w:p>
    <w:p>
      <w:pPr>
        <w:adjustRightInd w:val="0"/>
        <w:snapToGrid w:val="0"/>
        <w:spacing w:line="640" w:lineRule="exact"/>
        <w:ind w:firstLine="640" w:firstLineChars="200"/>
        <w:rPr>
          <w:rFonts w:eastAsia="方正仿宋_GBK"/>
          <w:sz w:val="32"/>
          <w:szCs w:val="32"/>
        </w:rPr>
      </w:pPr>
      <w:r>
        <w:rPr>
          <w:rFonts w:eastAsia="方正仿宋_GBK"/>
          <w:sz w:val="32"/>
          <w:szCs w:val="32"/>
        </w:rPr>
        <w:t>3.开展农村饮用水水源环境风险排查整治。以供水人口在10000人或日供水1000吨以上的饮用水水源保护区为重点，对可能影响农村饮用水水源环境安全的化工、造纸、冶炼、制药等风险源和生活垃圾污水、畜禽养殖等风险源进行排查。对水质不达标的水源，采取水源更换、集中供水、污染治理等措施，确保农村饮水安全。（区生态环境局牵头，区农业农村委、区水利局等部门按照职责分工负责）</w:t>
      </w:r>
    </w:p>
    <w:p>
      <w:pPr>
        <w:adjustRightInd w:val="0"/>
        <w:snapToGrid w:val="0"/>
        <w:spacing w:line="640" w:lineRule="exact"/>
        <w:ind w:firstLine="640" w:firstLineChars="200"/>
        <w:rPr>
          <w:rFonts w:ascii="方正楷体_GBK" w:hAnsi="方正楷体_GBK" w:eastAsia="方正楷体_GBK" w:cs="方正楷体_GBK"/>
          <w:sz w:val="32"/>
          <w:szCs w:val="32"/>
        </w:rPr>
      </w:pPr>
      <w:r>
        <w:rPr>
          <w:rFonts w:ascii="方正楷体_GBK" w:hAnsi="方正楷体_GBK" w:eastAsia="方正楷体_GBK" w:cs="方正楷体_GBK"/>
          <w:sz w:val="32"/>
          <w:szCs w:val="32"/>
        </w:rPr>
        <w:t>（二）加快推进农村生活垃圾治理</w:t>
      </w:r>
    </w:p>
    <w:p>
      <w:pPr>
        <w:adjustRightInd w:val="0"/>
        <w:snapToGrid w:val="0"/>
        <w:spacing w:line="640" w:lineRule="exact"/>
        <w:ind w:firstLine="640" w:firstLineChars="200"/>
        <w:rPr>
          <w:rFonts w:eastAsia="方正仿宋_GBK"/>
          <w:sz w:val="32"/>
          <w:szCs w:val="32"/>
        </w:rPr>
      </w:pPr>
      <w:r>
        <w:rPr>
          <w:rFonts w:eastAsia="方正仿宋_GBK"/>
          <w:sz w:val="32"/>
          <w:szCs w:val="32"/>
        </w:rPr>
        <w:t>4.推进农村生活垃圾治理。继续按照“户集、村收、乡镇转运、区域处理”模式，建立健全有完备的设施设备、有成熟的治理技术、有稳定的保洁队伍、有完善的监管制度、有长效的资金保障等“五有”生活垃圾收运处置体系，建立稳定的保洁队伍和专业清运队伍。2019年，新增配置2辆垃圾转运车（13立方米钩臂车）、100个垃圾箱体（1.5立方米）、6个垃圾箱体（13立方米）、100个果皮箱、200个垃圾桶（240升）、新建2座80吨和4座15吨压缩式垃圾中转站。到2020年，新增配置5辆垃圾收集车（1吨钩臂车）、6辆垃圾转运车（13立方米钩臂车）、100个垃圾箱体（1.5立方米）、23个垃圾箱体（13立方米）、50辆人工保洁手推车、200个果皮箱、500个垃圾桶（240升）、8座15吨压缩式垃圾中转站、启动垃圾焚烧设施建设。按照每500</w:t>
      </w:r>
      <w:r>
        <w:rPr>
          <w:rFonts w:hint="eastAsia" w:eastAsia="方正仿宋_GBK"/>
          <w:sz w:val="32"/>
          <w:szCs w:val="32"/>
        </w:rPr>
        <w:t>—</w:t>
      </w:r>
      <w:r>
        <w:rPr>
          <w:rFonts w:eastAsia="方正仿宋_GBK"/>
          <w:sz w:val="32"/>
          <w:szCs w:val="32"/>
        </w:rPr>
        <w:t>600人配置一名保洁员对垃圾进行日产日清，将农村垃圾治理人员、油料、设备维护经费纳入年度预算，2019年新增生活垃圾有效治理村4个，2020年新增生活垃圾有效治理村2个，确保农村垃圾有效治理率达95%以上。2019年将金溪镇和中塘乡作为农村生活垃圾治理示范乡镇。农村生活垃圾治理工作由行政村向自然村延伸。（区城管局牵头，区生态环境局、区农业农村委等部门按照职责分工负责）</w:t>
      </w:r>
    </w:p>
    <w:p>
      <w:pPr>
        <w:adjustRightInd w:val="0"/>
        <w:snapToGrid w:val="0"/>
        <w:spacing w:line="640" w:lineRule="exact"/>
        <w:ind w:firstLine="640" w:firstLineChars="200"/>
        <w:rPr>
          <w:rFonts w:eastAsia="方正仿宋_GBK"/>
          <w:sz w:val="32"/>
          <w:szCs w:val="32"/>
        </w:rPr>
      </w:pPr>
      <w:r>
        <w:rPr>
          <w:rFonts w:eastAsia="方正仿宋_GBK"/>
          <w:sz w:val="32"/>
          <w:szCs w:val="32"/>
        </w:rPr>
        <w:t>5.开展农村生活垃圾分类和资源化利用。推行简便易行的农村生活垃圾分类方式，实现就地分类、源头减量和资源化利用。引导农户采取庭院堆肥或村域集中处理消纳易腐垃圾。完善再生资源回收体系，推进可回收垃圾资源化利用。建成生活垃圾分类示范村20个，加快推进金溪镇垃圾分类试点工作。按照市上千村示范要求，继续巩固2018年创建的农村生活垃圾分类和资源化利用示范点（冯家街道寨子社区，小南海镇新建村，阿蓬江镇黄连村，中塘乡兴泉社区、迎新村，金溪镇长春村、清水村）。2019年，计划将阿蓬江镇石合村、青杠村，石会镇中元村、梅子村，沙坝乡万庆村作为农村生活垃圾分类和资源化利用示范点开展创建工作，印制宣传手册4000本，每个村设置宣传栏4块，在阿蓬江镇、石会镇和沙坝乡选取适当位置分别安装1块大型宣传广告牌，每户居民配置1个40L分类垃圾桶，每个村安装10个三格式分类垃圾箱，每个村修建2个易腐垃圾堆肥池，每个乡镇建立1个再生资源回收站。2020年，完成10个农村生活垃圾分类和资源化利用示范点创建任务，按户数印制宣传手册，每个村设置宣传栏2块，安装2块大型宣传广告牌，每户居民配置1个40L分类垃圾桶，每个村安装10个三格式分类垃圾箱，每个村配置1台垃圾分类收集车，每个村修建2个易腐垃圾堆肥池，每个乡镇建立1个再生资源回收站。（区城管局牵头，区农业农村委等部门按照职责分工负责）</w:t>
      </w:r>
    </w:p>
    <w:p>
      <w:pPr>
        <w:adjustRightInd w:val="0"/>
        <w:snapToGrid w:val="0"/>
        <w:spacing w:line="640" w:lineRule="exact"/>
        <w:ind w:firstLine="640" w:firstLineChars="200"/>
        <w:rPr>
          <w:rFonts w:eastAsia="方正仿宋_GBK"/>
          <w:sz w:val="32"/>
          <w:szCs w:val="32"/>
        </w:rPr>
      </w:pPr>
      <w:r>
        <w:rPr>
          <w:rFonts w:eastAsia="方正仿宋_GBK"/>
          <w:sz w:val="32"/>
          <w:szCs w:val="32"/>
        </w:rPr>
        <w:t>6.整治非正规垃圾堆放点。综合考虑非正规垃圾堆放点的垃圾数量、成分构成、污染状况、所处位置、风险等级等因素，采取就地简易封场、规范封场、搬迁处理及垃圾综合利用等方式，消除非正规垃圾堆放点带来的环境影响。2018年已完成非正规垃圾堆放点整治任务，2019</w:t>
      </w:r>
      <w:r>
        <w:rPr>
          <w:rFonts w:hint="eastAsia" w:eastAsia="方正仿宋_GBK"/>
          <w:sz w:val="32"/>
          <w:szCs w:val="32"/>
        </w:rPr>
        <w:t>—</w:t>
      </w:r>
      <w:r>
        <w:rPr>
          <w:rFonts w:eastAsia="方正仿宋_GBK"/>
          <w:sz w:val="32"/>
          <w:szCs w:val="32"/>
        </w:rPr>
        <w:t>2020年，继续加大排查力度，确保无新的非正规垃圾堆放点产生。（区城管局牵头，区农业农村委、区住房城乡建委、区生态环境局等部门按照职责分工负责）</w:t>
      </w:r>
    </w:p>
    <w:p>
      <w:pPr>
        <w:adjustRightInd w:val="0"/>
        <w:snapToGrid w:val="0"/>
        <w:spacing w:line="64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（三）梯次推进农村生活污水治理</w:t>
      </w:r>
    </w:p>
    <w:p>
      <w:pPr>
        <w:adjustRightInd w:val="0"/>
        <w:snapToGrid w:val="0"/>
        <w:spacing w:line="640" w:lineRule="exact"/>
        <w:ind w:firstLine="640" w:firstLineChars="200"/>
        <w:rPr>
          <w:rFonts w:eastAsia="方正仿宋_GBK"/>
          <w:sz w:val="32"/>
          <w:szCs w:val="32"/>
        </w:rPr>
      </w:pPr>
      <w:r>
        <w:rPr>
          <w:rFonts w:eastAsia="方正仿宋_GBK"/>
          <w:sz w:val="32"/>
          <w:szCs w:val="32"/>
        </w:rPr>
        <w:t>7.推广适宜农村生活污水治理技术和模式。全面执行《农村生活污水集中处理设施水污染物排放标准》（DB 50/848-2018）。按照集中治理与分散治理相结合、工程措施与生态措施相结合、达标排放与综合利用相结合的原则，选用农村生活污水治理实用技术和设施设备，推广适合本地区条件的低成本、低能耗、高效率、易维护的污水治理技术和模式。推动城镇污水处理设施和服务向近郊周边农村延伸，因地制宜实施村聚居点集中式生活污水处理设施建设，鼓励小型聚居点和散居农户采用人工湿地、生物塘、农村改厕、户用沼气、化粪池以及储粪还田等多种形式治理分散污水，加强改厕与农村生活污水治理的有效衔接。（区生态环境局牵头，区农业农村委、区住房城乡建委、区卫生健康委等部门按照职责分工负责）</w:t>
      </w:r>
    </w:p>
    <w:p>
      <w:pPr>
        <w:adjustRightInd w:val="0"/>
        <w:snapToGrid w:val="0"/>
        <w:spacing w:line="640" w:lineRule="exact"/>
        <w:ind w:firstLine="640" w:firstLineChars="200"/>
        <w:rPr>
          <w:rFonts w:eastAsia="方正仿宋_GBK"/>
          <w:sz w:val="32"/>
          <w:szCs w:val="32"/>
        </w:rPr>
      </w:pPr>
      <w:r>
        <w:rPr>
          <w:rFonts w:eastAsia="方正仿宋_GBK"/>
          <w:sz w:val="32"/>
          <w:szCs w:val="32"/>
        </w:rPr>
        <w:t>8.梯次推进农村生活污水治理。优先治理饮用水水源保护区、自然保护区、重要生态功能区等环境敏感区域、水环境问题突出区域的农村生活污水，重点整治沿</w:t>
      </w:r>
      <w:r>
        <w:rPr>
          <w:rFonts w:hint="eastAsia" w:eastAsia="方正仿宋_GBK"/>
          <w:sz w:val="32"/>
          <w:szCs w:val="32"/>
        </w:rPr>
        <w:t>铁路</w:t>
      </w:r>
      <w:r>
        <w:rPr>
          <w:rFonts w:eastAsia="方正仿宋_GBK"/>
          <w:sz w:val="32"/>
          <w:szCs w:val="32"/>
        </w:rPr>
        <w:t>两线、沿高速两旁、沿江两岸、沿旅游景区周边以及沿城郊环线等“五沿”区域的农村污水问题，有序推进其他区域农村生活污水治理，污水乱排乱放得到有效管控。到2020年，全面完成市上下达的行政村的环境综合整治任务（以市上下达任务为准），基本完成全市乡镇、村聚居点（常住人口1000人以上）集中式污水处理设施建设，实施9座集中式污水处理设施技术改造，建设完善生活污水管网约39千米；农村生活污水处理率达65%以上。（区生态环境局、区农业农村委、区城市管理局等部门和单位按照职责分工负责）</w:t>
      </w:r>
    </w:p>
    <w:p>
      <w:pPr>
        <w:adjustRightInd w:val="0"/>
        <w:snapToGrid w:val="0"/>
        <w:spacing w:line="640" w:lineRule="exact"/>
        <w:ind w:firstLine="640" w:firstLineChars="200"/>
        <w:rPr>
          <w:rFonts w:eastAsia="方正仿宋_GBK"/>
          <w:sz w:val="32"/>
          <w:szCs w:val="32"/>
        </w:rPr>
      </w:pPr>
      <w:r>
        <w:rPr>
          <w:rFonts w:eastAsia="方正仿宋_GBK"/>
          <w:sz w:val="32"/>
          <w:szCs w:val="32"/>
        </w:rPr>
        <w:t>9.健全农村生活污水处理长效机制。将农村水环境治理纳入河长制管理，落实农村生活污水处理统一规划、统一建设、统一管理，推行在新建农村居民集聚点同步规划、建设生活污水处理设施。加强农村污水处理设施运行管理，落实全市污水处理设施运营管理办法。探索农村生活污水处理第三方建设，推进农村生活污水处理市场化运营管理。（区生态环境局、区住房城乡建委、区规划自然资源局、区农业农村委等部门按照职责分工负责）</w:t>
      </w:r>
    </w:p>
    <w:p>
      <w:pPr>
        <w:adjustRightInd w:val="0"/>
        <w:snapToGrid w:val="0"/>
        <w:spacing w:line="640" w:lineRule="exact"/>
        <w:ind w:firstLine="640" w:firstLineChars="200"/>
        <w:rPr>
          <w:rFonts w:ascii="方正楷体_GBK" w:hAnsi="方正楷体_GBK" w:eastAsia="方正楷体_GBK" w:cs="方正楷体_GBK"/>
          <w:sz w:val="32"/>
          <w:szCs w:val="32"/>
        </w:rPr>
      </w:pPr>
      <w:r>
        <w:rPr>
          <w:rFonts w:ascii="方正楷体_GBK" w:hAnsi="方正楷体_GBK" w:eastAsia="方正楷体_GBK" w:cs="方正楷体_GBK"/>
          <w:sz w:val="32"/>
          <w:szCs w:val="32"/>
        </w:rPr>
        <w:t>（四）着力解决养殖业污染</w:t>
      </w:r>
    </w:p>
    <w:p>
      <w:pPr>
        <w:adjustRightInd w:val="0"/>
        <w:snapToGrid w:val="0"/>
        <w:spacing w:line="640" w:lineRule="exact"/>
        <w:ind w:firstLine="640" w:firstLineChars="200"/>
        <w:rPr>
          <w:rFonts w:eastAsia="方正仿宋_GBK"/>
          <w:sz w:val="32"/>
          <w:szCs w:val="32"/>
        </w:rPr>
      </w:pPr>
      <w:r>
        <w:rPr>
          <w:rFonts w:eastAsia="方正仿宋_GBK"/>
          <w:sz w:val="32"/>
          <w:szCs w:val="32"/>
        </w:rPr>
        <w:t>10.优化调整畜禽养殖布局。加强畜禽养殖区域管理，严格执行畜禽禁养区、限养区、适养区“三区”管理规定。加快禁养区畜禽养殖场（户）依法关闭、搬迁；限制部分养殖密集程度高的区域养殖发展；适养区按照“以地定畜、种养结合”的要求，依托种植业布局合理规划新增养殖场。2019年底前，完成畜禽养殖污染防治和种养循环发展规划编制。（区农业农村委、区畜牧技术服务中心、区生态环境局按照职责分工负责）</w:t>
      </w:r>
    </w:p>
    <w:p>
      <w:pPr>
        <w:adjustRightInd w:val="0"/>
        <w:snapToGrid w:val="0"/>
        <w:spacing w:line="640" w:lineRule="exact"/>
        <w:ind w:firstLine="640" w:firstLineChars="200"/>
        <w:rPr>
          <w:rFonts w:eastAsia="方正仿宋_GBK"/>
          <w:sz w:val="32"/>
          <w:szCs w:val="32"/>
        </w:rPr>
      </w:pPr>
      <w:r>
        <w:rPr>
          <w:rFonts w:eastAsia="方正仿宋_GBK"/>
          <w:sz w:val="32"/>
          <w:szCs w:val="32"/>
        </w:rPr>
        <w:t>11.推进养殖生产清洁化和产业模式生态化。推进畜禽养殖标准化示范创建升级，带动畜牧业绿色可持续发展。引导生猪生产向粮食主产区和环境容量大的地区转移。实施畜禽养殖清洁生产管理，推广节水、节料等清洁养殖工艺和干清粪、微生物发酵等实用技术，实现源头减量。严格规范兽药、饲料添加剂的生产和使用，严厉打击生产企业违法违规使用兽用抗菌药物的行为。推进水产生态健康养殖，实施水产养殖池塘标准化改造。（区农业农村委、区畜牧技术服务中心牵头）</w:t>
      </w:r>
    </w:p>
    <w:p>
      <w:pPr>
        <w:adjustRightInd w:val="0"/>
        <w:snapToGrid w:val="0"/>
        <w:spacing w:line="640" w:lineRule="exact"/>
        <w:ind w:firstLine="640" w:firstLineChars="200"/>
        <w:rPr>
          <w:rFonts w:eastAsia="方正仿宋_GBK"/>
          <w:sz w:val="32"/>
          <w:szCs w:val="32"/>
        </w:rPr>
      </w:pPr>
      <w:r>
        <w:rPr>
          <w:rFonts w:eastAsia="方正仿宋_GBK"/>
          <w:sz w:val="32"/>
          <w:szCs w:val="32"/>
        </w:rPr>
        <w:t>12.加强畜禽粪污资源化利用。推进畜禽粪污资源化利用，加快推进畜禽粪污资源化利用整</w:t>
      </w:r>
      <w:r>
        <w:rPr>
          <w:rFonts w:hint="eastAsia" w:eastAsia="方正仿宋_GBK"/>
          <w:sz w:val="32"/>
          <w:szCs w:val="32"/>
        </w:rPr>
        <w:t>区</w:t>
      </w:r>
      <w:r>
        <w:rPr>
          <w:rFonts w:eastAsia="方正仿宋_GBK"/>
          <w:sz w:val="32"/>
          <w:szCs w:val="32"/>
        </w:rPr>
        <w:t>推进项目规模化示范基地和规模养殖场的粪污处理设施改造升级扫尾工程建设，启动区域性粪污集中处理中心建设。落实乡镇街道属地管理责任、养殖业主主体责任、畜牧主管部门行业主管责任、生态环境部门监管责任，加强畜禽养殖粪污资源化利用考核。以畜禽粪肥还田、制取沼气、制造有机肥等综合利用方式为重点，鼓励和引导第三方处理企业将畜禽养殖场（户）粪污进行专业集中处理；加强畜禽养殖粪污资源化利用实用技术、装备、工艺及模式的研发集成，因地制宜推广粪污全量收集还田利用等技术模式。2019年完成3万头生猪当量污染治理设施配套建设；2019年大型规模养殖场粪污处理设施装备配套率达100%；2020年完成2万头生猪当量污染治理设施配套建设（以市上下达任务为准）；2020年规模养殖场粪污处理设施配套率达95%以上，全区畜禽粪污综合利用率达到75%以上。（区农业农村委、区畜牧技术服务中心牵头，区生态环境局</w:t>
      </w:r>
      <w:r>
        <w:rPr>
          <w:rFonts w:hint="eastAsia" w:eastAsia="方正仿宋_GBK"/>
          <w:sz w:val="32"/>
          <w:szCs w:val="32"/>
        </w:rPr>
        <w:t>配合</w:t>
      </w:r>
      <w:r>
        <w:rPr>
          <w:rFonts w:eastAsia="方正仿宋_GBK"/>
          <w:sz w:val="32"/>
          <w:szCs w:val="32"/>
        </w:rPr>
        <w:t>）</w:t>
      </w:r>
    </w:p>
    <w:p>
      <w:pPr>
        <w:adjustRightInd w:val="0"/>
        <w:snapToGrid w:val="0"/>
        <w:spacing w:line="640" w:lineRule="exact"/>
        <w:ind w:firstLine="640" w:firstLineChars="200"/>
        <w:rPr>
          <w:rFonts w:eastAsia="方正仿宋_GBK"/>
          <w:sz w:val="32"/>
          <w:szCs w:val="32"/>
        </w:rPr>
      </w:pPr>
      <w:r>
        <w:rPr>
          <w:rFonts w:eastAsia="方正仿宋_GBK"/>
          <w:sz w:val="32"/>
          <w:szCs w:val="32"/>
        </w:rPr>
        <w:t>13.严格畜禽规模养殖环境监管。强化规划引导，加强禁养区执法，将规模以上畜禽养殖场纳入重点污染源管理。严格落实环境影响评价和排污许可制度，</w:t>
      </w:r>
      <w:bookmarkStart w:id="0" w:name="_GoBack"/>
      <w:r>
        <w:rPr>
          <w:rFonts w:eastAsia="方正仿宋_GBK"/>
          <w:sz w:val="32"/>
          <w:szCs w:val="32"/>
        </w:rPr>
        <w:t>对“未批先建”“批建不符”</w:t>
      </w:r>
      <w:bookmarkEnd w:id="0"/>
      <w:r>
        <w:rPr>
          <w:rFonts w:eastAsia="方正仿宋_GBK"/>
          <w:sz w:val="32"/>
          <w:szCs w:val="32"/>
        </w:rPr>
        <w:t>、无证排污或不按证排污等环境违法行为，加大查处力度。将符合有关标准和要求的还田利用量作为统计污染物削减量的重要依据。推动畜禽养殖场配备视频监控设施，记录粪污处理、运输和资源化利用等情况，防止粪污偷运偷排。整合完善畜禽养殖场直联直报信息系统，构建统一管理、分级使用、共享直联的管理平台。（区生态环境局、区农业农村委牵头、区畜牧技术服务中心按照职责分工负责）</w:t>
      </w:r>
    </w:p>
    <w:p>
      <w:pPr>
        <w:adjustRightInd w:val="0"/>
        <w:snapToGrid w:val="0"/>
        <w:spacing w:line="640" w:lineRule="exact"/>
        <w:ind w:firstLine="640" w:firstLineChars="200"/>
        <w:rPr>
          <w:rFonts w:eastAsia="方正仿宋_GBK"/>
          <w:sz w:val="32"/>
          <w:szCs w:val="32"/>
        </w:rPr>
      </w:pPr>
      <w:r>
        <w:rPr>
          <w:rFonts w:eastAsia="方正仿宋_GBK"/>
          <w:sz w:val="32"/>
          <w:szCs w:val="32"/>
        </w:rPr>
        <w:t>14.加强水产养殖污染防治和水生生态保护。优化水产养殖空间布局，依法科学划定禁止养殖区、限制养殖区和养殖区。依法限期搬迁或关停禁养区内的水产养殖，严格按“不投饵、不施肥、不投药”的要求规范限养区管理。严控河流、水库投饵网箱养殖。推动水产养殖结构调整，大力推广池塘和工厂化循环水养殖、大水面生态增养殖、稻渔综合种养及连片池塘尾水集中处理等模式。引导开展水产健康养殖示范创建，支持发展休闲观光渔业，推进产业发展提档升级。开展以</w:t>
      </w:r>
      <w:r>
        <w:rPr>
          <w:rFonts w:hint="eastAsia" w:eastAsia="方正仿宋_GBK"/>
          <w:sz w:val="32"/>
          <w:szCs w:val="32"/>
        </w:rPr>
        <w:t>阿蓬江</w:t>
      </w:r>
      <w:r>
        <w:rPr>
          <w:rFonts w:eastAsia="方正仿宋_GBK"/>
          <w:sz w:val="32"/>
          <w:szCs w:val="32"/>
        </w:rPr>
        <w:t>为重点的水生生物保护行动，修复水生生态环境，加强水域环境监测。2019年完成水产养殖禁止养殖区、限制养殖区和养殖区划定。（区农业农村委、区生态环境局牵头，区规划自然资源局、区水利局</w:t>
      </w:r>
      <w:r>
        <w:rPr>
          <w:rFonts w:hint="eastAsia" w:eastAsia="方正仿宋_GBK"/>
          <w:sz w:val="32"/>
          <w:szCs w:val="32"/>
        </w:rPr>
        <w:t>配合</w:t>
      </w:r>
      <w:r>
        <w:rPr>
          <w:rFonts w:eastAsia="方正仿宋_GBK"/>
          <w:sz w:val="32"/>
          <w:szCs w:val="32"/>
        </w:rPr>
        <w:t>）</w:t>
      </w:r>
    </w:p>
    <w:p>
      <w:pPr>
        <w:adjustRightInd w:val="0"/>
        <w:snapToGrid w:val="0"/>
        <w:spacing w:line="64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（五）有效防控种植业污染</w:t>
      </w:r>
    </w:p>
    <w:p>
      <w:pPr>
        <w:adjustRightInd w:val="0"/>
        <w:snapToGrid w:val="0"/>
        <w:spacing w:line="640" w:lineRule="exact"/>
        <w:ind w:firstLine="640" w:firstLineChars="200"/>
        <w:rPr>
          <w:rFonts w:eastAsia="方正仿宋_GBK"/>
          <w:sz w:val="32"/>
          <w:szCs w:val="32"/>
        </w:rPr>
      </w:pPr>
      <w:r>
        <w:rPr>
          <w:rFonts w:eastAsia="方正仿宋_GBK"/>
          <w:sz w:val="32"/>
          <w:szCs w:val="32"/>
        </w:rPr>
        <w:t>15.实施化肥减量增效行动。采取“精、调、改、替”的技术路径，坚持“增产施肥、经济施肥、环保施肥”理念，以重点项目和推广测土配方施肥技术为抓手，加强土肥水高效绿色技术推广，2019年化肥利用率达39%以上，测土配方施肥技术覆盖率达91%以上，全区化肥使用量确保减少0.5%；到2020年，化肥利用率达40%以上，测土配方施肥技术覆盖率达93%以上。争取创建国家果菜茶有机肥替代化肥试点</w:t>
      </w:r>
      <w:r>
        <w:rPr>
          <w:rFonts w:hint="eastAsia" w:eastAsia="方正仿宋_GBK"/>
          <w:sz w:val="32"/>
          <w:szCs w:val="32"/>
        </w:rPr>
        <w:t>区</w:t>
      </w:r>
      <w:r>
        <w:rPr>
          <w:rFonts w:eastAsia="方正仿宋_GBK"/>
          <w:sz w:val="32"/>
          <w:szCs w:val="32"/>
        </w:rPr>
        <w:t>县。（区农业农村委牵头）</w:t>
      </w:r>
    </w:p>
    <w:p>
      <w:pPr>
        <w:adjustRightInd w:val="0"/>
        <w:snapToGrid w:val="0"/>
        <w:spacing w:line="640" w:lineRule="exact"/>
        <w:ind w:firstLine="640" w:firstLineChars="200"/>
        <w:rPr>
          <w:rFonts w:eastAsia="方正仿宋_GBK"/>
          <w:sz w:val="32"/>
          <w:szCs w:val="32"/>
        </w:rPr>
      </w:pPr>
      <w:r>
        <w:rPr>
          <w:rFonts w:eastAsia="方正仿宋_GBK"/>
          <w:sz w:val="32"/>
          <w:szCs w:val="32"/>
        </w:rPr>
        <w:t>16.实施农药减量增效行动。采用“控、替、精、统”技术路径，有效防控农作物病虫害，确保重大病虫不大面积暴发成灾、重大植物疫病不恶性传播蔓延，严格控制高毒高风险农药使用，大力推广新型农药，大力推进统防统治和绿色防控，构建资源节约型、环境友好型病虫害可持续治理技术体系，实现农药减量控害，保障农业生产安全、农产品质量安全和生态环境安全。到2020年，全区主要农作物农药使用量年度降幅达0.5%以上、农药利用率达到40%以上、绿色防控覆盖率达到30%以上、病虫害专业化统防统治覆盖率达到40%以上。（区农业农村委牵头，区生态环境局</w:t>
      </w:r>
      <w:r>
        <w:rPr>
          <w:rFonts w:hint="eastAsia" w:eastAsia="方正仿宋_GBK"/>
          <w:sz w:val="32"/>
          <w:szCs w:val="32"/>
        </w:rPr>
        <w:t>配合</w:t>
      </w:r>
      <w:r>
        <w:rPr>
          <w:rFonts w:eastAsia="方正仿宋_GBK"/>
          <w:sz w:val="32"/>
          <w:szCs w:val="32"/>
        </w:rPr>
        <w:t>）</w:t>
      </w:r>
    </w:p>
    <w:p>
      <w:pPr>
        <w:adjustRightInd w:val="0"/>
        <w:snapToGrid w:val="0"/>
        <w:spacing w:line="640" w:lineRule="exact"/>
        <w:ind w:firstLine="640" w:firstLineChars="200"/>
        <w:rPr>
          <w:rFonts w:eastAsia="方正仿宋_GBK"/>
          <w:sz w:val="32"/>
          <w:szCs w:val="32"/>
        </w:rPr>
      </w:pPr>
      <w:r>
        <w:rPr>
          <w:rFonts w:eastAsia="方正仿宋_GBK"/>
          <w:sz w:val="32"/>
          <w:szCs w:val="32"/>
        </w:rPr>
        <w:t>17.加强农作物秸秆资源化利用。切实加强秸秆禁烧管控，加强禁烧宣传，建立区、乡镇</w:t>
      </w:r>
      <w:r>
        <w:rPr>
          <w:rFonts w:hint="eastAsia" w:eastAsia="方正仿宋_GBK"/>
          <w:sz w:val="32"/>
          <w:szCs w:val="32"/>
        </w:rPr>
        <w:t>街道</w:t>
      </w:r>
      <w:r>
        <w:rPr>
          <w:rFonts w:eastAsia="方正仿宋_GBK"/>
          <w:sz w:val="32"/>
          <w:szCs w:val="32"/>
        </w:rPr>
        <w:t>、村三级秸秆禁烧工作责任制和督查责任机制。加强秸秆综合利用，做好秸秆还田，结合农机机耕、机收技术推广，重点推进秸秆还田肥料化、能源化、饲料化、基料化综合利用，开展秸秆综合利用试点示范，全面提高秸秆综合利用率。到2019年底，秸秆还田率达59%以上，秸秆综合利用率达85%以上；到2020</w:t>
      </w:r>
      <w:r>
        <w:rPr>
          <w:rFonts w:hint="eastAsia" w:eastAsia="方正仿宋_GBK"/>
          <w:sz w:val="32"/>
          <w:szCs w:val="32"/>
        </w:rPr>
        <w:t>年</w:t>
      </w:r>
      <w:r>
        <w:rPr>
          <w:rFonts w:eastAsia="方正仿宋_GBK"/>
          <w:sz w:val="32"/>
          <w:szCs w:val="32"/>
        </w:rPr>
        <w:t>底，秸秆综合利用率达90%以上。（区农业农村委牵头，区生态环境局、区发改委、区财政局</w:t>
      </w:r>
      <w:r>
        <w:rPr>
          <w:rFonts w:hint="eastAsia" w:eastAsia="方正仿宋_GBK"/>
          <w:sz w:val="32"/>
          <w:szCs w:val="32"/>
        </w:rPr>
        <w:t>配合</w:t>
      </w:r>
      <w:r>
        <w:rPr>
          <w:rFonts w:eastAsia="方正仿宋_GBK"/>
          <w:sz w:val="32"/>
          <w:szCs w:val="32"/>
        </w:rPr>
        <w:t>）</w:t>
      </w:r>
    </w:p>
    <w:p>
      <w:pPr>
        <w:adjustRightInd w:val="0"/>
        <w:snapToGrid w:val="0"/>
        <w:spacing w:line="640" w:lineRule="exact"/>
        <w:ind w:firstLine="640" w:firstLineChars="200"/>
        <w:rPr>
          <w:rFonts w:eastAsia="方正仿宋_GBK"/>
          <w:sz w:val="32"/>
          <w:szCs w:val="32"/>
        </w:rPr>
      </w:pPr>
      <w:r>
        <w:rPr>
          <w:rFonts w:eastAsia="方正仿宋_GBK"/>
          <w:sz w:val="32"/>
          <w:szCs w:val="32"/>
        </w:rPr>
        <w:t>18.加快推进农膜废弃物和农业投入口包装物资源化利用。指导科学用膜，严格执行农膜使用标准和技术规范，打击非法生产、销售不合格农膜行为。加大农用地膜国家标准宣传贯彻力度，加快可降解地膜和加厚地膜推广应用，开展可降解农膜试验和回收利用示范。建立农膜废弃物和农业投入品包装废弃物回收利用制度，探索“谁生产、谁使用、谁回收”的回收责任管理机制，形成乡镇（村）回收转运、区集中分拣贮运、区域加工利用的回收利用体系。到2020年，全区农膜回收率达80%以上。（区供销合作社牵头，区科技局、区经济信息委、区公安局、区农业农村委、区市场监管局</w:t>
      </w:r>
      <w:r>
        <w:rPr>
          <w:rFonts w:hint="eastAsia" w:eastAsia="方正仿宋_GBK"/>
          <w:sz w:val="32"/>
          <w:szCs w:val="32"/>
        </w:rPr>
        <w:t>配合</w:t>
      </w:r>
      <w:r>
        <w:rPr>
          <w:rFonts w:eastAsia="方正仿宋_GBK"/>
          <w:sz w:val="32"/>
          <w:szCs w:val="32"/>
        </w:rPr>
        <w:t>）</w:t>
      </w:r>
    </w:p>
    <w:p>
      <w:pPr>
        <w:adjustRightInd w:val="0"/>
        <w:snapToGrid w:val="0"/>
        <w:spacing w:line="640" w:lineRule="exact"/>
        <w:ind w:firstLine="640" w:firstLineChars="200"/>
        <w:rPr>
          <w:rFonts w:eastAsia="方正仿宋_GBK"/>
          <w:sz w:val="32"/>
          <w:szCs w:val="32"/>
        </w:rPr>
      </w:pPr>
      <w:r>
        <w:rPr>
          <w:rFonts w:eastAsia="方正仿宋_GBK"/>
          <w:sz w:val="32"/>
          <w:szCs w:val="32"/>
        </w:rPr>
        <w:t>19.大力推进种植业产业模式生态化。优化农业产业化布局，推动农业产业协调发展，探索生态循环农业发展模式。大力推广稻田综合种养生态循环农业，示范提升稻—蟹、稻—鳖、稻—虾、稻—鱼、稻—鳅、稻—蛙和稻—鸭等模式。抓好以农村沼气为纽带的立体生态循环农业发展，因地制宜建设一批农牧结合、种养平衡、生态循环的示范农业园区。以自然村落为单元，通过农村环境综合整治、农业清洁技术应用、废弃物收集设施以及农业投入品跟踪监控等综合措施，持续开展生态循环农业示范村创建。推进国家农业可持续发展试验示范区创建，大力发展绿色、有机农产品。推进一二三产业融合发展，发挥生态资源优势，发展休闲农业和乡村旅游。（区农业农村委牵头，区文化旅游委、区林业局、区规划自然资源局</w:t>
      </w:r>
      <w:r>
        <w:rPr>
          <w:rFonts w:hint="eastAsia" w:eastAsia="方正仿宋_GBK"/>
          <w:sz w:val="32"/>
          <w:szCs w:val="32"/>
        </w:rPr>
        <w:t>配合</w:t>
      </w:r>
      <w:r>
        <w:rPr>
          <w:rFonts w:eastAsia="方正仿宋_GBK"/>
          <w:sz w:val="32"/>
          <w:szCs w:val="32"/>
        </w:rPr>
        <w:t>）</w:t>
      </w:r>
    </w:p>
    <w:p>
      <w:pPr>
        <w:adjustRightInd w:val="0"/>
        <w:snapToGrid w:val="0"/>
        <w:spacing w:line="640" w:lineRule="exact"/>
        <w:ind w:firstLine="640" w:firstLineChars="200"/>
        <w:rPr>
          <w:rFonts w:eastAsia="方正仿宋_GBK"/>
          <w:sz w:val="32"/>
          <w:szCs w:val="32"/>
        </w:rPr>
      </w:pPr>
      <w:r>
        <w:rPr>
          <w:rFonts w:eastAsia="方正仿宋_GBK"/>
          <w:sz w:val="32"/>
          <w:szCs w:val="32"/>
        </w:rPr>
        <w:t>20.推进农业节水灌溉。加强农田水利设施建设，提升农田蓄水和灌溉能力，充分利用天然降水实现自然灌溉。发展节水农业，突出农艺节水和工程节水措施，因地制</w:t>
      </w:r>
      <w:r>
        <w:rPr>
          <w:rFonts w:hint="eastAsia" w:eastAsia="方正仿宋_GBK"/>
          <w:sz w:val="32"/>
          <w:szCs w:val="32"/>
          <w:lang w:eastAsia="zh-CN"/>
        </w:rPr>
        <w:t>宜</w:t>
      </w:r>
      <w:r>
        <w:rPr>
          <w:rFonts w:eastAsia="方正仿宋_GBK"/>
          <w:sz w:val="32"/>
          <w:szCs w:val="32"/>
        </w:rPr>
        <w:t>推广水肥</w:t>
      </w:r>
      <w:r>
        <w:rPr>
          <w:rFonts w:hint="eastAsia" w:eastAsia="方正仿宋_GBK"/>
          <w:sz w:val="32"/>
          <w:szCs w:val="32"/>
        </w:rPr>
        <w:t>（</w:t>
      </w:r>
      <w:r>
        <w:rPr>
          <w:rFonts w:eastAsia="方正仿宋_GBK"/>
          <w:sz w:val="32"/>
          <w:szCs w:val="32"/>
        </w:rPr>
        <w:t>药</w:t>
      </w:r>
      <w:r>
        <w:rPr>
          <w:rFonts w:hint="eastAsia" w:eastAsia="方正仿宋_GBK"/>
          <w:sz w:val="32"/>
          <w:szCs w:val="32"/>
        </w:rPr>
        <w:t>）</w:t>
      </w:r>
      <w:r>
        <w:rPr>
          <w:rFonts w:eastAsia="方正仿宋_GBK"/>
          <w:sz w:val="32"/>
          <w:szCs w:val="32"/>
        </w:rPr>
        <w:t>一体化技术。到2020年，农田灌溉水有效利用系数达到0.50以上，有效减少农田退水对水体的污染。(区农业农村委、区水利局按照职责分工负责)</w:t>
      </w:r>
    </w:p>
    <w:p>
      <w:pPr>
        <w:adjustRightInd w:val="0"/>
        <w:snapToGrid w:val="0"/>
        <w:spacing w:line="640" w:lineRule="exact"/>
        <w:ind w:firstLine="640" w:firstLineChars="200"/>
        <w:rPr>
          <w:rFonts w:eastAsia="方正仿宋_GBK"/>
          <w:sz w:val="32"/>
          <w:szCs w:val="32"/>
        </w:rPr>
      </w:pPr>
      <w:r>
        <w:rPr>
          <w:rFonts w:eastAsia="方正仿宋_GBK"/>
          <w:sz w:val="32"/>
          <w:szCs w:val="32"/>
        </w:rPr>
        <w:t>21.实施耕地分类管理。在土壤污染状况详查的基础上，有序推进耕地土壤环境质量类别划定，2020年年底前建立分类清单。根据土壤污染状况和农产品超标情况，制定并实施受污染耕地安全利用方案，结合主要农作物品种和种植习惯，采取农艺调控、替代种植等措施安全利用受污染耕地。加强对严格管控类耕地的用途管理，依法划定特定农产品禁止生产区域，严禁种植食用农产品；实施重度污染耕地种植结构调整或退耕还林还草。（区农业农村委牵头，区林业局、区生态环境局、区规划自然资源局</w:t>
      </w:r>
      <w:r>
        <w:rPr>
          <w:rFonts w:hint="eastAsia" w:eastAsia="方正仿宋_GBK"/>
          <w:sz w:val="32"/>
          <w:szCs w:val="32"/>
        </w:rPr>
        <w:t>配合</w:t>
      </w:r>
      <w:r>
        <w:rPr>
          <w:rFonts w:eastAsia="方正仿宋_GBK"/>
          <w:sz w:val="32"/>
          <w:szCs w:val="32"/>
        </w:rPr>
        <w:t>）</w:t>
      </w:r>
    </w:p>
    <w:p>
      <w:pPr>
        <w:adjustRightInd w:val="0"/>
        <w:snapToGrid w:val="0"/>
        <w:spacing w:line="64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（六）提升农业农村环境监管能力</w:t>
      </w:r>
    </w:p>
    <w:p>
      <w:pPr>
        <w:adjustRightInd w:val="0"/>
        <w:snapToGrid w:val="0"/>
        <w:spacing w:line="640" w:lineRule="exact"/>
        <w:ind w:firstLine="640" w:firstLineChars="200"/>
        <w:rPr>
          <w:rFonts w:eastAsia="方正仿宋_GBK"/>
          <w:sz w:val="32"/>
          <w:szCs w:val="32"/>
        </w:rPr>
      </w:pPr>
      <w:r>
        <w:rPr>
          <w:rFonts w:eastAsia="方正仿宋_GBK"/>
          <w:sz w:val="32"/>
          <w:szCs w:val="32"/>
        </w:rPr>
        <w:t>22.严守生态保护红线。明确和落实生态保护红线管控要求，生态保护红线内禁止城镇化和工业化活动，生态保护红线内现存的耕地不得擅自扩大规模。在阿蓬江流域等敏感区域内，严禁以任何形式围垦河湖、违法占用河湖水域，严格管控沿河环湖农业面源污染。（区生态环境局、区规划自然资源局牵头）</w:t>
      </w:r>
    </w:p>
    <w:p>
      <w:pPr>
        <w:adjustRightInd w:val="0"/>
        <w:snapToGrid w:val="0"/>
        <w:spacing w:line="640" w:lineRule="exact"/>
        <w:ind w:firstLine="640" w:firstLineChars="200"/>
        <w:rPr>
          <w:rFonts w:eastAsia="方正仿宋_GBK"/>
          <w:sz w:val="32"/>
          <w:szCs w:val="32"/>
        </w:rPr>
      </w:pPr>
      <w:r>
        <w:rPr>
          <w:rFonts w:eastAsia="方正仿宋_GBK"/>
          <w:sz w:val="32"/>
          <w:szCs w:val="32"/>
        </w:rPr>
        <w:t>实施农业产业准入负面清单制度，针对农业资源与生态环境突出问题，建立农业产业准入负面清单制度，因地制宜制定禁止和限制发展产业目录，明确种植业、养殖业发展方向和开发强度，强化准入管理和底线约束。（区农业农村委牵头，区生态环境局、区发展改革委</w:t>
      </w:r>
      <w:r>
        <w:rPr>
          <w:rFonts w:hint="eastAsia" w:eastAsia="方正仿宋_GBK"/>
          <w:sz w:val="32"/>
          <w:szCs w:val="32"/>
        </w:rPr>
        <w:t>配合</w:t>
      </w:r>
      <w:r>
        <w:rPr>
          <w:rFonts w:eastAsia="方正仿宋_GBK"/>
          <w:sz w:val="32"/>
          <w:szCs w:val="32"/>
        </w:rPr>
        <w:t>）</w:t>
      </w:r>
    </w:p>
    <w:p>
      <w:pPr>
        <w:adjustRightInd w:val="0"/>
        <w:snapToGrid w:val="0"/>
        <w:spacing w:line="640" w:lineRule="exact"/>
        <w:ind w:firstLine="640" w:firstLineChars="200"/>
        <w:rPr>
          <w:rFonts w:eastAsia="方正仿宋_GBK"/>
          <w:sz w:val="32"/>
          <w:szCs w:val="32"/>
        </w:rPr>
      </w:pPr>
      <w:r>
        <w:rPr>
          <w:rFonts w:eastAsia="方正仿宋_GBK"/>
          <w:sz w:val="32"/>
          <w:szCs w:val="32"/>
        </w:rPr>
        <w:t>23.强化农业农村生态环境监管执法。创新监管手段，运用卫星遥感、大数据、APP等技术装备，充分利用乡村治安网格化管理平台，及时发现农业农村环境问题。鼓励公众监督，对农村地区生态破坏和环境污染事件进行举报。结合第二次全国污染源普查和相关部门已开展的污染源调查统计工作，完善并运用好农业农村生态环境管理信息平台。探索构建农业农村生态环境监测体系，结合现有环境监测网络和农村环境质量试点监测工作，加强对农村集中式饮用水水源、日处理能力20立方米及以上的农村生活污水处理设施出水和畜禽规模养殖场排污口的水质监测。（区生态环境局、区农业农村委牵头）</w:t>
      </w:r>
    </w:p>
    <w:p>
      <w:pPr>
        <w:adjustRightInd w:val="0"/>
        <w:snapToGrid w:val="0"/>
        <w:spacing w:line="640" w:lineRule="exact"/>
        <w:ind w:firstLine="640" w:firstLineChars="200"/>
        <w:rPr>
          <w:rFonts w:eastAsia="方正仿宋_GBK"/>
          <w:sz w:val="32"/>
          <w:szCs w:val="32"/>
        </w:rPr>
      </w:pPr>
      <w:r>
        <w:rPr>
          <w:rFonts w:eastAsia="方正仿宋_GBK"/>
          <w:sz w:val="32"/>
          <w:szCs w:val="32"/>
        </w:rPr>
        <w:t>24.落实乡镇生态环境保护职责。加强乡镇基层环保管理队伍建设，围绕乡镇基层环保管理人员组织管理、业务技能、监察监督等方面，通过定期的业务培训、技术指导、实训演练等方式，提高农村环保管理人员素质，提升指导和监督农业农村环境污染防治工作的能力。（区生态环境局、区农业农村委牵头，区住房城乡建委、区城市管理局、区水利局</w:t>
      </w:r>
      <w:r>
        <w:rPr>
          <w:rFonts w:hint="eastAsia" w:eastAsia="方正仿宋_GBK"/>
          <w:sz w:val="32"/>
          <w:szCs w:val="32"/>
        </w:rPr>
        <w:t>配合</w:t>
      </w:r>
      <w:r>
        <w:rPr>
          <w:rFonts w:eastAsia="方正仿宋_GBK"/>
          <w:sz w:val="32"/>
          <w:szCs w:val="32"/>
        </w:rPr>
        <w:t>）</w:t>
      </w:r>
    </w:p>
    <w:p>
      <w:pPr>
        <w:adjustRightInd w:val="0"/>
        <w:snapToGrid w:val="0"/>
        <w:spacing w:line="640" w:lineRule="exact"/>
        <w:ind w:firstLine="640" w:firstLineChars="200"/>
        <w:rPr>
          <w:rFonts w:eastAsia="方正黑体_GBK"/>
          <w:sz w:val="32"/>
          <w:szCs w:val="32"/>
        </w:rPr>
      </w:pPr>
      <w:r>
        <w:rPr>
          <w:rFonts w:eastAsia="方正黑体_GBK"/>
          <w:sz w:val="32"/>
          <w:szCs w:val="32"/>
        </w:rPr>
        <w:t>三、保障措施</w:t>
      </w:r>
    </w:p>
    <w:p>
      <w:pPr>
        <w:adjustRightInd w:val="0"/>
        <w:snapToGrid w:val="0"/>
        <w:spacing w:line="640" w:lineRule="exact"/>
        <w:ind w:firstLine="640" w:firstLineChars="200"/>
        <w:rPr>
          <w:rFonts w:eastAsia="方正仿宋_GBK"/>
          <w:sz w:val="32"/>
          <w:szCs w:val="32"/>
        </w:rPr>
      </w:pPr>
      <w:r>
        <w:rPr>
          <w:rFonts w:hint="eastAsia" w:ascii="方正楷体_GBK" w:hAnsi="方正楷体_GBK" w:eastAsia="方正楷体_GBK" w:cs="方正楷体_GBK"/>
          <w:sz w:val="32"/>
          <w:szCs w:val="32"/>
        </w:rPr>
        <w:t>（一）加强组织领导。</w:t>
      </w:r>
      <w:r>
        <w:rPr>
          <w:rFonts w:hint="eastAsia" w:eastAsia="方正仿宋_GBK"/>
          <w:sz w:val="32"/>
          <w:szCs w:val="32"/>
        </w:rPr>
        <w:t>严格</w:t>
      </w:r>
      <w:r>
        <w:rPr>
          <w:rFonts w:eastAsia="方正仿宋_GBK"/>
          <w:sz w:val="32"/>
          <w:szCs w:val="32"/>
        </w:rPr>
        <w:t>落实</w:t>
      </w:r>
      <w:r>
        <w:rPr>
          <w:rFonts w:hint="eastAsia" w:eastAsia="方正仿宋_GBK"/>
          <w:sz w:val="32"/>
          <w:szCs w:val="32"/>
        </w:rPr>
        <w:t>生态环境保护</w:t>
      </w:r>
      <w:r>
        <w:rPr>
          <w:rFonts w:eastAsia="方正仿宋_GBK"/>
          <w:sz w:val="32"/>
          <w:szCs w:val="32"/>
        </w:rPr>
        <w:t>“一岗双责”</w:t>
      </w:r>
      <w:r>
        <w:rPr>
          <w:rFonts w:hint="eastAsia" w:eastAsia="方正仿宋_GBK"/>
          <w:sz w:val="32"/>
          <w:szCs w:val="32"/>
        </w:rPr>
        <w:t>要求</w:t>
      </w:r>
      <w:r>
        <w:rPr>
          <w:rFonts w:eastAsia="方正仿宋_GBK"/>
          <w:sz w:val="32"/>
          <w:szCs w:val="32"/>
        </w:rPr>
        <w:t>，区级有关部门密切配合，</w:t>
      </w:r>
      <w:r>
        <w:rPr>
          <w:rFonts w:hint="eastAsia" w:eastAsia="方正仿宋_GBK"/>
          <w:sz w:val="32"/>
          <w:szCs w:val="32"/>
        </w:rPr>
        <w:t>构建</w:t>
      </w:r>
      <w:r>
        <w:rPr>
          <w:rFonts w:eastAsia="方正仿宋_GBK"/>
          <w:sz w:val="32"/>
          <w:szCs w:val="32"/>
        </w:rPr>
        <w:t>区农业农村委牵头，区生态环境局统一监督指导，有关部门信息共享、定期会商、督导评估、齐抓共管的工作格局，加快治理我区农业农村突出环境问题，明确牵头责任部门、实施主体，提供组织和政策保障，做好监督考核。</w:t>
      </w:r>
      <w:r>
        <w:rPr>
          <w:rFonts w:hint="eastAsia" w:eastAsia="方正仿宋_GBK"/>
          <w:sz w:val="32"/>
          <w:szCs w:val="32"/>
        </w:rPr>
        <w:t>各</w:t>
      </w:r>
      <w:r>
        <w:rPr>
          <w:rFonts w:eastAsia="方正仿宋_GBK"/>
          <w:sz w:val="32"/>
          <w:szCs w:val="32"/>
        </w:rPr>
        <w:t>乡镇街道要做好具体组织实施工作，强化农村基层党组织领导核心地位，引导农村党员发挥先锋带头作用，带领村民参与农业农村污染治理。</w:t>
      </w:r>
    </w:p>
    <w:p>
      <w:pPr>
        <w:adjustRightInd w:val="0"/>
        <w:snapToGrid w:val="0"/>
        <w:spacing w:line="640" w:lineRule="exact"/>
        <w:ind w:firstLine="640" w:firstLineChars="200"/>
        <w:rPr>
          <w:rFonts w:eastAsia="方正仿宋_GBK"/>
          <w:sz w:val="32"/>
          <w:szCs w:val="32"/>
        </w:rPr>
      </w:pPr>
      <w:r>
        <w:rPr>
          <w:rFonts w:hint="eastAsia" w:ascii="方正楷体_GBK" w:hAnsi="方正楷体_GBK" w:eastAsia="方正楷体_GBK" w:cs="方正楷体_GBK"/>
          <w:sz w:val="32"/>
          <w:szCs w:val="32"/>
        </w:rPr>
        <w:t>（二）探索创新经济政策。</w:t>
      </w:r>
      <w:r>
        <w:rPr>
          <w:rFonts w:eastAsia="方正仿宋_GBK"/>
          <w:sz w:val="32"/>
          <w:szCs w:val="32"/>
        </w:rPr>
        <w:t>探索建立垃圾污水处理缴费制度，合理确定缴费水平和标准。研究建立农民施用有机肥市场激励机制，支持农户和新型农业经营主体使用有机肥、配方肥、高效缓控释肥料。研究制定有机肥厂、规模化大型沼气工程、第三方处理机构等畜禽粪污处理主体用地用电优惠政策，保障用地需求，按设施农业用地进行管理，享受农业用电价格。研究出台有机肥生产、运输等扶持政策，结合实际统筹加大秸秆还田等补贴力度。落实畜禽规模养殖场粪污资源化利用和秸秆等农业废弃物资源化利用电价优惠政策。</w:t>
      </w:r>
    </w:p>
    <w:p>
      <w:pPr>
        <w:adjustRightInd w:val="0"/>
        <w:snapToGrid w:val="0"/>
        <w:spacing w:line="640" w:lineRule="exact"/>
        <w:ind w:firstLine="640" w:firstLineChars="200"/>
        <w:rPr>
          <w:rFonts w:eastAsia="方正仿宋_GBK"/>
          <w:sz w:val="32"/>
          <w:szCs w:val="32"/>
        </w:rPr>
      </w:pPr>
      <w:r>
        <w:rPr>
          <w:rFonts w:ascii="方正楷体_GBK" w:hAnsi="方正楷体_GBK" w:eastAsia="方正楷体_GBK" w:cs="方正楷体_GBK"/>
          <w:sz w:val="32"/>
          <w:szCs w:val="32"/>
        </w:rPr>
        <w:t>（三）加强村民自治。</w:t>
      </w:r>
      <w:r>
        <w:rPr>
          <w:rFonts w:eastAsia="方正仿宋_GBK"/>
          <w:sz w:val="32"/>
          <w:szCs w:val="32"/>
        </w:rPr>
        <w:t>强化村委会在农业农村环境保护工作中协助推进垃圾污水处理和农业面源污染防治的责任。各部门、乡镇街道要广泛开展农业农村污染治理宣传教育，加强技术推广。将农业农村环境保护纳入村规民约，建立农民参与生活垃圾分类、农业废弃物资源化利用的直接受益机制。引导农民保护自然环境，科学使用农药、肥料、农膜等农业投入品，合理处置畜禽粪污等农业废弃物。充分依托农业基层技术服务队伍，提供农业农村污染治理技术咨询和指导，推广绿色生产方式。开展卫生家庭等评选活动，举办“小手拉大手”等中小学生科普教育活动，推广绿色生活方式，形成家家参与、户户关心农村生态环境保护的良好氛围。</w:t>
      </w:r>
    </w:p>
    <w:p>
      <w:pPr>
        <w:adjustRightInd w:val="0"/>
        <w:snapToGrid w:val="0"/>
        <w:spacing w:line="640" w:lineRule="exact"/>
        <w:ind w:firstLine="640" w:firstLineChars="200"/>
        <w:rPr>
          <w:rFonts w:eastAsia="方正仿宋_GBK"/>
          <w:sz w:val="32"/>
          <w:szCs w:val="32"/>
        </w:rPr>
      </w:pPr>
      <w:r>
        <w:rPr>
          <w:rFonts w:ascii="方正楷体_GBK" w:hAnsi="方正楷体_GBK" w:eastAsia="方正楷体_GBK" w:cs="方正楷体_GBK"/>
          <w:sz w:val="32"/>
          <w:szCs w:val="32"/>
        </w:rPr>
        <w:t>（四）培育市场主体。</w:t>
      </w:r>
      <w:r>
        <w:rPr>
          <w:rFonts w:eastAsia="方正仿宋_GBK"/>
          <w:sz w:val="32"/>
          <w:szCs w:val="32"/>
        </w:rPr>
        <w:t>培育各种形式的农业农村环境治理市场主体，采取城乡统筹、整区打包、建运一体等多种方式，吸引第三方治理企业、农民专业合作社等参与农村生活垃圾、污水治理和农业面源污染治理。落实和完善融资贷款扶持政策，鼓励融资担保机构按照市场化原则积极向符合支持范围的农业农村环境治理企业项目提供融资担保服务。推动建立农村有机废弃物收集、转化、利用网络体系，探索建立规模化、专业化、社会化运营管理机制。</w:t>
      </w:r>
    </w:p>
    <w:p>
      <w:pPr>
        <w:adjustRightInd w:val="0"/>
        <w:snapToGrid w:val="0"/>
        <w:spacing w:line="640" w:lineRule="exact"/>
        <w:ind w:firstLine="640" w:firstLineChars="200"/>
        <w:rPr>
          <w:rFonts w:eastAsia="方正仿宋_GBK"/>
          <w:sz w:val="32"/>
          <w:szCs w:val="32"/>
        </w:rPr>
      </w:pPr>
      <w:r>
        <w:rPr>
          <w:rFonts w:hint="eastAsia" w:ascii="方正楷体_GBK" w:hAnsi="方正楷体_GBK" w:eastAsia="方正楷体_GBK" w:cs="方正楷体_GBK"/>
          <w:sz w:val="32"/>
          <w:szCs w:val="32"/>
        </w:rPr>
        <w:t>（五）加大投入力度。</w:t>
      </w:r>
      <w:r>
        <w:rPr>
          <w:rFonts w:eastAsia="方正仿宋_GBK"/>
          <w:sz w:val="32"/>
          <w:szCs w:val="32"/>
        </w:rPr>
        <w:t>将农业农村污染治理以及垃圾污水治理等公共设施运行维护资金纳入财政预算，统筹整合环保、城乡建设、农业农村等涉农资金，建立涉农资金统筹整合长效机制，加大投入力度，建立稳定的农业农村污染治理经费渠道，合理保障农村环境整治资金投入，并向贫困落后地区适当倾斜，让农村贫困人口在参与农业农村污染治理攻坚战中受益。采取以奖代补、先建后补、以工代赈等多种方式，充分发挥政府投资撬动作用，提高资金使用效率。</w:t>
      </w:r>
    </w:p>
    <w:p>
      <w:pPr>
        <w:adjustRightInd w:val="0"/>
        <w:snapToGrid w:val="0"/>
        <w:spacing w:line="640" w:lineRule="exact"/>
        <w:ind w:firstLine="640" w:firstLineChars="200"/>
        <w:rPr>
          <w:rFonts w:eastAsia="方正仿宋_GBK"/>
          <w:sz w:val="32"/>
          <w:szCs w:val="32"/>
        </w:rPr>
      </w:pPr>
      <w:r>
        <w:rPr>
          <w:rFonts w:hint="eastAsia" w:ascii="方正楷体_GBK" w:hAnsi="方正楷体_GBK" w:eastAsia="方正楷体_GBK" w:cs="方正楷体_GBK"/>
          <w:sz w:val="32"/>
          <w:szCs w:val="32"/>
        </w:rPr>
        <w:t>（六）强化监督考核。</w:t>
      </w:r>
      <w:r>
        <w:rPr>
          <w:rFonts w:eastAsia="方正仿宋_GBK"/>
          <w:sz w:val="32"/>
          <w:szCs w:val="32"/>
        </w:rPr>
        <w:t>研究制定农业农村污染治理攻坚战考核办法，区生态环境局、区农业农村委会同区住房城乡建委、区城管局等部门，定期组织督导评估，结果报区委、区政府，通报督查考核情况，并以适当形式向社会公布。将农业农村污染治理工作纳入经济社会发展</w:t>
      </w:r>
      <w:r>
        <w:rPr>
          <w:rFonts w:hint="eastAsia" w:eastAsia="方正仿宋_GBK"/>
          <w:sz w:val="32"/>
          <w:szCs w:val="32"/>
        </w:rPr>
        <w:t>实绩</w:t>
      </w:r>
      <w:r>
        <w:rPr>
          <w:rFonts w:eastAsia="方正仿宋_GBK"/>
          <w:sz w:val="32"/>
          <w:szCs w:val="32"/>
        </w:rPr>
        <w:t>考核。对污染问题严重、治理工作推进不力的进行严肃问责。</w:t>
      </w:r>
    </w:p>
    <w:p>
      <w:pPr>
        <w:adjustRightInd w:val="0"/>
        <w:snapToGrid w:val="0"/>
        <w:spacing w:line="640" w:lineRule="exact"/>
        <w:ind w:firstLine="640" w:firstLineChars="200"/>
        <w:rPr>
          <w:rFonts w:eastAsia="方正仿宋_GBK"/>
          <w:sz w:val="32"/>
          <w:szCs w:val="32"/>
        </w:rPr>
      </w:pPr>
    </w:p>
    <w:p>
      <w:pPr>
        <w:adjustRightInd w:val="0"/>
        <w:snapToGrid w:val="0"/>
        <w:spacing w:line="640" w:lineRule="exact"/>
        <w:ind w:left="1598" w:leftChars="304" w:hanging="960" w:hangingChars="300"/>
        <w:rPr>
          <w:rFonts w:eastAsia="方正仿宋_GBK"/>
          <w:sz w:val="32"/>
          <w:szCs w:val="32"/>
        </w:rPr>
      </w:pPr>
      <w:r>
        <w:rPr>
          <w:rFonts w:eastAsia="方正仿宋_GBK"/>
          <w:sz w:val="32"/>
          <w:szCs w:val="32"/>
        </w:rPr>
        <w:t>附</w:t>
      </w:r>
      <w:r>
        <w:rPr>
          <w:rFonts w:hint="eastAsia" w:eastAsia="方正仿宋_GBK"/>
          <w:sz w:val="32"/>
          <w:szCs w:val="32"/>
        </w:rPr>
        <w:t>件：</w:t>
      </w:r>
      <w:r>
        <w:rPr>
          <w:rFonts w:eastAsia="方正仿宋_GBK"/>
          <w:sz w:val="32"/>
          <w:szCs w:val="32"/>
        </w:rPr>
        <w:t>1.黔江区农业农村污染治理攻坚战行动计划实施方案重点任务表</w:t>
      </w:r>
    </w:p>
    <w:p>
      <w:pPr>
        <w:adjustRightInd w:val="0"/>
        <w:snapToGrid w:val="0"/>
        <w:spacing w:line="640" w:lineRule="exact"/>
        <w:ind w:firstLine="1600" w:firstLineChars="500"/>
        <w:rPr>
          <w:rFonts w:eastAsia="方正仿宋_GBK"/>
          <w:sz w:val="32"/>
          <w:szCs w:val="32"/>
        </w:rPr>
        <w:sectPr>
          <w:footerReference r:id="rId3" w:type="default"/>
          <w:pgSz w:w="11906" w:h="16838"/>
          <w:pgMar w:top="2098" w:right="1474" w:bottom="1984" w:left="1587" w:header="851" w:footer="1417" w:gutter="0"/>
          <w:cols w:space="720" w:num="1"/>
          <w:docGrid w:type="lines" w:linePitch="312" w:charSpace="0"/>
        </w:sectPr>
      </w:pPr>
      <w:r>
        <w:rPr>
          <w:rFonts w:eastAsia="方正仿宋_GBK"/>
          <w:sz w:val="32"/>
          <w:szCs w:val="32"/>
        </w:rPr>
        <w:t>2.黔江区2019年农业农村污染治理示范乡镇安排表</w:t>
      </w:r>
    </w:p>
    <w:p>
      <w:pPr>
        <w:adjustRightInd w:val="0"/>
        <w:snapToGrid w:val="0"/>
        <w:spacing w:line="640" w:lineRule="exact"/>
        <w:ind w:firstLine="640" w:firstLineChars="200"/>
        <w:rPr>
          <w:rFonts w:eastAsia="方正仿宋_GBK"/>
          <w:sz w:val="32"/>
          <w:szCs w:val="32"/>
        </w:rPr>
      </w:pPr>
      <w:r>
        <w:rPr>
          <w:rFonts w:eastAsia="方正仿宋_GBK"/>
          <w:sz w:val="32"/>
          <w:szCs w:val="32"/>
        </w:rPr>
        <w:t>附</w:t>
      </w:r>
      <w:r>
        <w:rPr>
          <w:rFonts w:hint="eastAsia" w:eastAsia="方正仿宋_GBK"/>
          <w:sz w:val="32"/>
          <w:szCs w:val="32"/>
        </w:rPr>
        <w:t>件</w:t>
      </w:r>
      <w:r>
        <w:rPr>
          <w:rFonts w:eastAsia="方正仿宋_GBK"/>
          <w:sz w:val="32"/>
          <w:szCs w:val="32"/>
        </w:rPr>
        <w:t>1</w:t>
      </w:r>
    </w:p>
    <w:p>
      <w:pPr>
        <w:adjustRightInd w:val="0"/>
        <w:snapToGrid w:val="0"/>
        <w:spacing w:line="594" w:lineRule="exact"/>
        <w:ind w:firstLine="720" w:firstLineChars="200"/>
        <w:jc w:val="center"/>
      </w:pPr>
      <w:r>
        <w:rPr>
          <w:rFonts w:eastAsia="方正小标宋_GBK"/>
          <w:sz w:val="36"/>
          <w:szCs w:val="36"/>
        </w:rPr>
        <w:t>农业农村污染治理攻坚战行动计划实施方案重点任务表</w:t>
      </w:r>
    </w:p>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31"/>
        <w:gridCol w:w="1085"/>
        <w:gridCol w:w="7147"/>
        <w:gridCol w:w="2240"/>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3" w:hRule="atLeast"/>
          <w:tblHeader/>
          <w:jc w:val="center"/>
        </w:trPr>
        <w:tc>
          <w:tcPr>
            <w:tcW w:w="731" w:type="dxa"/>
            <w:noWrap w:val="0"/>
            <w:vAlign w:val="center"/>
          </w:tcPr>
          <w:p>
            <w:pPr>
              <w:adjustRightInd w:val="0"/>
              <w:snapToGrid w:val="0"/>
              <w:jc w:val="center"/>
              <w:textAlignment w:val="center"/>
              <w:rPr>
                <w:rFonts w:eastAsia="方正黑体_GBK"/>
                <w:sz w:val="24"/>
              </w:rPr>
            </w:pPr>
            <w:r>
              <w:rPr>
                <w:rFonts w:hint="eastAsia" w:eastAsia="方正黑体_GBK"/>
                <w:kern w:val="0"/>
                <w:sz w:val="24"/>
                <w:lang w:bidi="ar"/>
              </w:rPr>
              <w:t>序号</w:t>
            </w:r>
          </w:p>
        </w:tc>
        <w:tc>
          <w:tcPr>
            <w:tcW w:w="8232" w:type="dxa"/>
            <w:gridSpan w:val="2"/>
            <w:noWrap w:val="0"/>
            <w:vAlign w:val="center"/>
          </w:tcPr>
          <w:p>
            <w:pPr>
              <w:adjustRightInd w:val="0"/>
              <w:snapToGrid w:val="0"/>
              <w:jc w:val="center"/>
              <w:textAlignment w:val="center"/>
              <w:rPr>
                <w:rFonts w:eastAsia="方正黑体_GBK"/>
                <w:sz w:val="24"/>
              </w:rPr>
            </w:pPr>
            <w:r>
              <w:rPr>
                <w:rFonts w:hint="eastAsia" w:eastAsia="方正黑体_GBK"/>
                <w:kern w:val="0"/>
                <w:sz w:val="24"/>
                <w:lang w:bidi="ar"/>
              </w:rPr>
              <w:t>重点任务</w:t>
            </w:r>
          </w:p>
        </w:tc>
        <w:tc>
          <w:tcPr>
            <w:tcW w:w="2240" w:type="dxa"/>
            <w:noWrap w:val="0"/>
            <w:vAlign w:val="center"/>
          </w:tcPr>
          <w:p>
            <w:pPr>
              <w:adjustRightInd w:val="0"/>
              <w:snapToGrid w:val="0"/>
              <w:jc w:val="center"/>
              <w:textAlignment w:val="center"/>
              <w:rPr>
                <w:rFonts w:eastAsia="方正黑体_GBK"/>
                <w:sz w:val="24"/>
              </w:rPr>
            </w:pPr>
            <w:r>
              <w:rPr>
                <w:rFonts w:hint="eastAsia" w:eastAsia="方正黑体_GBK"/>
                <w:kern w:val="0"/>
                <w:sz w:val="24"/>
                <w:lang w:bidi="ar"/>
              </w:rPr>
              <w:t>牵头部门</w:t>
            </w:r>
          </w:p>
        </w:tc>
        <w:tc>
          <w:tcPr>
            <w:tcW w:w="1584" w:type="dxa"/>
            <w:noWrap w:val="0"/>
            <w:vAlign w:val="center"/>
          </w:tcPr>
          <w:p>
            <w:pPr>
              <w:adjustRightInd w:val="0"/>
              <w:snapToGrid w:val="0"/>
              <w:jc w:val="center"/>
              <w:textAlignment w:val="center"/>
              <w:rPr>
                <w:rFonts w:eastAsia="方正黑体_GBK"/>
                <w:sz w:val="24"/>
              </w:rPr>
            </w:pPr>
            <w:r>
              <w:rPr>
                <w:rFonts w:hint="eastAsia" w:eastAsia="方正黑体_GBK"/>
                <w:kern w:val="0"/>
                <w:sz w:val="24"/>
                <w:lang w:bidi="ar"/>
              </w:rPr>
              <w:t>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731" w:type="dxa"/>
            <w:noWrap w:val="0"/>
            <w:vAlign w:val="center"/>
          </w:tcPr>
          <w:p>
            <w:pPr>
              <w:adjustRightInd w:val="0"/>
              <w:snapToGrid w:val="0"/>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1</w:t>
            </w:r>
          </w:p>
        </w:tc>
        <w:tc>
          <w:tcPr>
            <w:tcW w:w="1085" w:type="dxa"/>
            <w:vMerge w:val="restart"/>
            <w:noWrap w:val="0"/>
            <w:vAlign w:val="center"/>
          </w:tcPr>
          <w:p>
            <w:pPr>
              <w:adjustRightInd w:val="0"/>
              <w:snapToGrid w:val="0"/>
              <w:jc w:val="center"/>
              <w:textAlignment w:val="center"/>
              <w:rPr>
                <w:rFonts w:hint="eastAsia"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（一）</w:t>
            </w:r>
          </w:p>
          <w:p>
            <w:pPr>
              <w:adjustRightInd w:val="0"/>
              <w:snapToGrid w:val="0"/>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加强农村饮用水水源保护</w:t>
            </w:r>
          </w:p>
        </w:tc>
        <w:tc>
          <w:tcPr>
            <w:tcW w:w="7147" w:type="dxa"/>
            <w:noWrap w:val="0"/>
            <w:vAlign w:val="center"/>
          </w:tcPr>
          <w:p>
            <w:pPr>
              <w:adjustRightInd w:val="0"/>
              <w:snapToGrid w:val="0"/>
              <w:jc w:val="left"/>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2020年年底前，完成石会镇老窖溪水库石会水厂水源地环境状况调查评估和规范化建设工作；完善34个（2019年8完成8个、2020年完成26个）在用乡镇集中式饮用水源地保护区界标、交通警示牌和宣传牌等标志。</w:t>
            </w:r>
          </w:p>
        </w:tc>
        <w:tc>
          <w:tcPr>
            <w:tcW w:w="2240" w:type="dxa"/>
            <w:noWrap w:val="0"/>
            <w:vAlign w:val="center"/>
          </w:tcPr>
          <w:p>
            <w:pPr>
              <w:adjustRightInd w:val="0"/>
              <w:snapToGrid w:val="0"/>
              <w:jc w:val="center"/>
              <w:textAlignment w:val="center"/>
              <w:rPr>
                <w:rFonts w:hint="eastAsia"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区生态环境局</w:t>
            </w:r>
          </w:p>
          <w:p>
            <w:pPr>
              <w:adjustRightInd w:val="0"/>
              <w:snapToGrid w:val="0"/>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区水利局</w:t>
            </w:r>
          </w:p>
        </w:tc>
        <w:tc>
          <w:tcPr>
            <w:tcW w:w="1584" w:type="dxa"/>
            <w:noWrap w:val="0"/>
            <w:vAlign w:val="center"/>
          </w:tcPr>
          <w:p>
            <w:pPr>
              <w:adjustRightInd w:val="0"/>
              <w:snapToGrid w:val="0"/>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731" w:type="dxa"/>
            <w:noWrap w:val="0"/>
            <w:vAlign w:val="center"/>
          </w:tcPr>
          <w:p>
            <w:pPr>
              <w:adjustRightInd w:val="0"/>
              <w:snapToGrid w:val="0"/>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2</w:t>
            </w:r>
          </w:p>
        </w:tc>
        <w:tc>
          <w:tcPr>
            <w:tcW w:w="1085" w:type="dxa"/>
            <w:vMerge w:val="continue"/>
            <w:noWrap w:val="0"/>
            <w:vAlign w:val="center"/>
          </w:tcPr>
          <w:p>
            <w:pPr>
              <w:adjustRightInd w:val="0"/>
              <w:snapToGrid w:val="0"/>
              <w:jc w:val="center"/>
              <w:rPr>
                <w:rFonts w:hint="eastAsia" w:ascii="方正仿宋_GBK" w:hAnsi="方正仿宋_GBK" w:eastAsia="方正仿宋_GBK" w:cs="方正仿宋_GBK"/>
                <w:sz w:val="24"/>
              </w:rPr>
            </w:pPr>
          </w:p>
        </w:tc>
        <w:tc>
          <w:tcPr>
            <w:tcW w:w="7147" w:type="dxa"/>
            <w:noWrap w:val="0"/>
            <w:vAlign w:val="center"/>
          </w:tcPr>
          <w:p>
            <w:pPr>
              <w:adjustRightInd w:val="0"/>
              <w:snapToGrid w:val="0"/>
              <w:jc w:val="left"/>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到2020年，全区34个在用乡镇集中式饮用水水源地水质达标率达100%。</w:t>
            </w:r>
          </w:p>
        </w:tc>
        <w:tc>
          <w:tcPr>
            <w:tcW w:w="2240" w:type="dxa"/>
            <w:noWrap w:val="0"/>
            <w:vAlign w:val="center"/>
          </w:tcPr>
          <w:p>
            <w:pPr>
              <w:adjustRightInd w:val="0"/>
              <w:snapToGrid w:val="0"/>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区生态环境局</w:t>
            </w:r>
          </w:p>
        </w:tc>
        <w:tc>
          <w:tcPr>
            <w:tcW w:w="1584" w:type="dxa"/>
            <w:noWrap w:val="0"/>
            <w:vAlign w:val="top"/>
          </w:tcPr>
          <w:p>
            <w:pPr>
              <w:rPr>
                <w:rFonts w:hint="eastAsia" w:ascii="方正仿宋_GBK" w:hAnsi="方正仿宋_GBK" w:eastAsia="方正仿宋_GBK" w:cs="方正仿宋_GBK"/>
              </w:rPr>
            </w:pPr>
            <w:r>
              <w:rPr>
                <w:rFonts w:hint="eastAsia" w:ascii="方正仿宋_GBK" w:hAnsi="方正仿宋_GBK" w:eastAsia="方正仿宋_GBK" w:cs="方正仿宋_GBK"/>
                <w:kern w:val="0"/>
                <w:sz w:val="24"/>
                <w:lang w:bidi="ar"/>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731" w:type="dxa"/>
            <w:noWrap w:val="0"/>
            <w:vAlign w:val="center"/>
          </w:tcPr>
          <w:p>
            <w:pPr>
              <w:adjustRightInd w:val="0"/>
              <w:snapToGrid w:val="0"/>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3</w:t>
            </w:r>
          </w:p>
        </w:tc>
        <w:tc>
          <w:tcPr>
            <w:tcW w:w="1085" w:type="dxa"/>
            <w:vMerge w:val="continue"/>
            <w:noWrap w:val="0"/>
            <w:vAlign w:val="center"/>
          </w:tcPr>
          <w:p>
            <w:pPr>
              <w:adjustRightInd w:val="0"/>
              <w:snapToGrid w:val="0"/>
              <w:jc w:val="center"/>
              <w:rPr>
                <w:rFonts w:hint="eastAsia" w:ascii="方正仿宋_GBK" w:hAnsi="方正仿宋_GBK" w:eastAsia="方正仿宋_GBK" w:cs="方正仿宋_GBK"/>
                <w:sz w:val="24"/>
              </w:rPr>
            </w:pPr>
          </w:p>
        </w:tc>
        <w:tc>
          <w:tcPr>
            <w:tcW w:w="7147" w:type="dxa"/>
            <w:noWrap w:val="0"/>
            <w:vAlign w:val="center"/>
          </w:tcPr>
          <w:p>
            <w:pPr>
              <w:adjustRightInd w:val="0"/>
              <w:snapToGrid w:val="0"/>
              <w:jc w:val="left"/>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开展饮用水水源、供水单位供水的水质监测和评估，并向社会公开饮用水安全状况信息。</w:t>
            </w:r>
          </w:p>
        </w:tc>
        <w:tc>
          <w:tcPr>
            <w:tcW w:w="2240" w:type="dxa"/>
            <w:noWrap w:val="0"/>
            <w:vAlign w:val="center"/>
          </w:tcPr>
          <w:p>
            <w:pPr>
              <w:adjustRightInd w:val="0"/>
              <w:snapToGrid w:val="0"/>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区生态环境局、区水利局、区卫生健康委按照职责分工负责</w:t>
            </w:r>
          </w:p>
        </w:tc>
        <w:tc>
          <w:tcPr>
            <w:tcW w:w="1584" w:type="dxa"/>
            <w:noWrap w:val="0"/>
            <w:vAlign w:val="top"/>
          </w:tcPr>
          <w:p>
            <w:pPr>
              <w:rPr>
                <w:rFonts w:hint="eastAsia" w:ascii="方正仿宋_GBK" w:hAnsi="方正仿宋_GBK" w:eastAsia="方正仿宋_GBK" w:cs="方正仿宋_GBK"/>
              </w:rPr>
            </w:pPr>
            <w:r>
              <w:rPr>
                <w:rFonts w:hint="eastAsia" w:ascii="方正仿宋_GBK" w:hAnsi="方正仿宋_GBK" w:eastAsia="方正仿宋_GBK" w:cs="方正仿宋_GBK"/>
                <w:kern w:val="0"/>
                <w:sz w:val="24"/>
                <w:lang w:bidi="ar"/>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2" w:hRule="atLeast"/>
          <w:jc w:val="center"/>
        </w:trPr>
        <w:tc>
          <w:tcPr>
            <w:tcW w:w="731" w:type="dxa"/>
            <w:noWrap w:val="0"/>
            <w:vAlign w:val="center"/>
          </w:tcPr>
          <w:p>
            <w:pPr>
              <w:adjustRightInd w:val="0"/>
              <w:snapToGrid w:val="0"/>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4</w:t>
            </w:r>
          </w:p>
        </w:tc>
        <w:tc>
          <w:tcPr>
            <w:tcW w:w="1085" w:type="dxa"/>
            <w:vMerge w:val="continue"/>
            <w:noWrap w:val="0"/>
            <w:vAlign w:val="center"/>
          </w:tcPr>
          <w:p>
            <w:pPr>
              <w:adjustRightInd w:val="0"/>
              <w:snapToGrid w:val="0"/>
              <w:jc w:val="center"/>
              <w:rPr>
                <w:rFonts w:hint="eastAsia" w:ascii="方正仿宋_GBK" w:hAnsi="方正仿宋_GBK" w:eastAsia="方正仿宋_GBK" w:cs="方正仿宋_GBK"/>
                <w:sz w:val="24"/>
              </w:rPr>
            </w:pPr>
          </w:p>
        </w:tc>
        <w:tc>
          <w:tcPr>
            <w:tcW w:w="7147" w:type="dxa"/>
            <w:noWrap w:val="0"/>
            <w:vAlign w:val="center"/>
          </w:tcPr>
          <w:p>
            <w:pPr>
              <w:adjustRightInd w:val="0"/>
              <w:snapToGrid w:val="0"/>
              <w:jc w:val="left"/>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石会镇老窖溪水库石会水厂水源地每季度监测一次，其余33个在用农村集中式水源地每年监测一次。</w:t>
            </w:r>
          </w:p>
        </w:tc>
        <w:tc>
          <w:tcPr>
            <w:tcW w:w="2240" w:type="dxa"/>
            <w:noWrap w:val="0"/>
            <w:vAlign w:val="center"/>
          </w:tcPr>
          <w:p>
            <w:pPr>
              <w:adjustRightInd w:val="0"/>
              <w:snapToGrid w:val="0"/>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区生态环境局</w:t>
            </w:r>
          </w:p>
        </w:tc>
        <w:tc>
          <w:tcPr>
            <w:tcW w:w="1584" w:type="dxa"/>
            <w:noWrap w:val="0"/>
            <w:vAlign w:val="top"/>
          </w:tcPr>
          <w:p>
            <w:pPr>
              <w:rPr>
                <w:rFonts w:hint="eastAsia" w:ascii="方正仿宋_GBK" w:hAnsi="方正仿宋_GBK" w:eastAsia="方正仿宋_GBK" w:cs="方正仿宋_GBK"/>
              </w:rPr>
            </w:pPr>
            <w:r>
              <w:rPr>
                <w:rFonts w:hint="eastAsia" w:ascii="方正仿宋_GBK" w:hAnsi="方正仿宋_GBK" w:eastAsia="方正仿宋_GBK" w:cs="方正仿宋_GBK"/>
                <w:kern w:val="0"/>
                <w:sz w:val="24"/>
                <w:lang w:bidi="ar"/>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72" w:hRule="atLeast"/>
          <w:jc w:val="center"/>
        </w:trPr>
        <w:tc>
          <w:tcPr>
            <w:tcW w:w="731" w:type="dxa"/>
            <w:noWrap w:val="0"/>
            <w:vAlign w:val="center"/>
          </w:tcPr>
          <w:p>
            <w:pPr>
              <w:adjustRightInd w:val="0"/>
              <w:snapToGrid w:val="0"/>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5</w:t>
            </w:r>
          </w:p>
        </w:tc>
        <w:tc>
          <w:tcPr>
            <w:tcW w:w="1085" w:type="dxa"/>
            <w:vMerge w:val="continue"/>
            <w:noWrap w:val="0"/>
            <w:vAlign w:val="center"/>
          </w:tcPr>
          <w:p>
            <w:pPr>
              <w:adjustRightInd w:val="0"/>
              <w:snapToGrid w:val="0"/>
              <w:jc w:val="center"/>
              <w:rPr>
                <w:rFonts w:hint="eastAsia" w:ascii="方正仿宋_GBK" w:hAnsi="方正仿宋_GBK" w:eastAsia="方正仿宋_GBK" w:cs="方正仿宋_GBK"/>
                <w:sz w:val="24"/>
              </w:rPr>
            </w:pPr>
          </w:p>
        </w:tc>
        <w:tc>
          <w:tcPr>
            <w:tcW w:w="7147" w:type="dxa"/>
            <w:noWrap w:val="0"/>
            <w:vAlign w:val="center"/>
          </w:tcPr>
          <w:p>
            <w:pPr>
              <w:adjustRightInd w:val="0"/>
              <w:snapToGrid w:val="0"/>
              <w:jc w:val="left"/>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以供水人口在10000人或日供水1000吨以上的饮用水水源保护区为重点，开展农村饮用水水源环境风险排查。</w:t>
            </w:r>
          </w:p>
        </w:tc>
        <w:tc>
          <w:tcPr>
            <w:tcW w:w="2240" w:type="dxa"/>
            <w:noWrap w:val="0"/>
            <w:vAlign w:val="center"/>
          </w:tcPr>
          <w:p>
            <w:pPr>
              <w:adjustRightInd w:val="0"/>
              <w:snapToGrid w:val="0"/>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区生态环境局</w:t>
            </w:r>
          </w:p>
        </w:tc>
        <w:tc>
          <w:tcPr>
            <w:tcW w:w="1584" w:type="dxa"/>
            <w:noWrap w:val="0"/>
            <w:vAlign w:val="top"/>
          </w:tcPr>
          <w:p>
            <w:pPr>
              <w:rPr>
                <w:rFonts w:hint="eastAsia" w:ascii="方正仿宋_GBK" w:hAnsi="方正仿宋_GBK" w:eastAsia="方正仿宋_GBK" w:cs="方正仿宋_GBK"/>
              </w:rPr>
            </w:pPr>
            <w:r>
              <w:rPr>
                <w:rFonts w:hint="eastAsia" w:ascii="方正仿宋_GBK" w:hAnsi="方正仿宋_GBK" w:eastAsia="方正仿宋_GBK" w:cs="方正仿宋_GBK"/>
                <w:kern w:val="0"/>
                <w:sz w:val="24"/>
                <w:lang w:bidi="ar"/>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6" w:hRule="atLeast"/>
          <w:jc w:val="center"/>
        </w:trPr>
        <w:tc>
          <w:tcPr>
            <w:tcW w:w="731" w:type="dxa"/>
            <w:noWrap w:val="0"/>
            <w:vAlign w:val="center"/>
          </w:tcPr>
          <w:p>
            <w:pPr>
              <w:adjustRightInd w:val="0"/>
              <w:snapToGrid w:val="0"/>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6</w:t>
            </w:r>
          </w:p>
        </w:tc>
        <w:tc>
          <w:tcPr>
            <w:tcW w:w="1085" w:type="dxa"/>
            <w:vMerge w:val="restart"/>
            <w:noWrap w:val="0"/>
            <w:vAlign w:val="center"/>
          </w:tcPr>
          <w:p>
            <w:pPr>
              <w:adjustRightInd w:val="0"/>
              <w:snapToGrid w:val="0"/>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（二）加快推进农村生活垃圾治理</w:t>
            </w:r>
          </w:p>
          <w:p>
            <w:pPr>
              <w:adjustRightInd w:val="0"/>
              <w:snapToGrid w:val="0"/>
              <w:jc w:val="center"/>
              <w:rPr>
                <w:rFonts w:hint="eastAsia" w:ascii="方正仿宋_GBK" w:hAnsi="方正仿宋_GBK" w:eastAsia="方正仿宋_GBK" w:cs="方正仿宋_GBK"/>
                <w:sz w:val="24"/>
              </w:rPr>
            </w:pPr>
          </w:p>
          <w:p>
            <w:pPr>
              <w:adjustRightInd w:val="0"/>
              <w:snapToGrid w:val="0"/>
              <w:jc w:val="center"/>
              <w:rPr>
                <w:rFonts w:hint="eastAsia" w:ascii="方正仿宋_GBK" w:hAnsi="方正仿宋_GBK" w:eastAsia="方正仿宋_GBK" w:cs="方正仿宋_GBK"/>
                <w:sz w:val="24"/>
              </w:rPr>
            </w:pPr>
          </w:p>
          <w:p>
            <w:pPr>
              <w:adjustRightInd w:val="0"/>
              <w:snapToGrid w:val="0"/>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（二）加快推进农村生活垃圾治理</w:t>
            </w:r>
          </w:p>
        </w:tc>
        <w:tc>
          <w:tcPr>
            <w:tcW w:w="7147" w:type="dxa"/>
            <w:noWrap w:val="0"/>
            <w:vAlign w:val="center"/>
          </w:tcPr>
          <w:p>
            <w:pPr>
              <w:adjustRightInd w:val="0"/>
              <w:snapToGrid w:val="0"/>
              <w:spacing w:line="420" w:lineRule="exact"/>
              <w:jc w:val="left"/>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建立全区农村生活垃圾治理长效管理机制。</w:t>
            </w:r>
          </w:p>
        </w:tc>
        <w:tc>
          <w:tcPr>
            <w:tcW w:w="2240" w:type="dxa"/>
            <w:noWrap w:val="0"/>
            <w:vAlign w:val="center"/>
          </w:tcPr>
          <w:p>
            <w:pPr>
              <w:adjustRightInd w:val="0"/>
              <w:snapToGrid w:val="0"/>
              <w:spacing w:line="42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区城管局</w:t>
            </w:r>
          </w:p>
        </w:tc>
        <w:tc>
          <w:tcPr>
            <w:tcW w:w="1584" w:type="dxa"/>
            <w:noWrap w:val="0"/>
            <w:vAlign w:val="center"/>
          </w:tcPr>
          <w:p>
            <w:pPr>
              <w:adjustRightInd w:val="0"/>
              <w:snapToGrid w:val="0"/>
              <w:spacing w:line="420" w:lineRule="exact"/>
              <w:jc w:val="center"/>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1" w:hRule="atLeast"/>
          <w:jc w:val="center"/>
        </w:trPr>
        <w:tc>
          <w:tcPr>
            <w:tcW w:w="731" w:type="dxa"/>
            <w:noWrap w:val="0"/>
            <w:vAlign w:val="center"/>
          </w:tcPr>
          <w:p>
            <w:pPr>
              <w:adjustRightInd w:val="0"/>
              <w:snapToGrid w:val="0"/>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7</w:t>
            </w:r>
          </w:p>
        </w:tc>
        <w:tc>
          <w:tcPr>
            <w:tcW w:w="1085" w:type="dxa"/>
            <w:vMerge w:val="continue"/>
            <w:noWrap w:val="0"/>
            <w:vAlign w:val="center"/>
          </w:tcPr>
          <w:p>
            <w:pPr>
              <w:adjustRightInd w:val="0"/>
              <w:snapToGrid w:val="0"/>
              <w:jc w:val="center"/>
              <w:rPr>
                <w:rFonts w:hint="eastAsia" w:ascii="方正仿宋_GBK" w:hAnsi="方正仿宋_GBK" w:eastAsia="方正仿宋_GBK" w:cs="方正仿宋_GBK"/>
                <w:sz w:val="24"/>
              </w:rPr>
            </w:pPr>
          </w:p>
        </w:tc>
        <w:tc>
          <w:tcPr>
            <w:tcW w:w="7147" w:type="dxa"/>
            <w:noWrap w:val="0"/>
            <w:vAlign w:val="center"/>
          </w:tcPr>
          <w:p>
            <w:pPr>
              <w:adjustRightInd w:val="0"/>
              <w:snapToGrid w:val="0"/>
              <w:spacing w:line="420" w:lineRule="exact"/>
              <w:jc w:val="left"/>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2019年新增垃圾治理村4个；2020年新增垃圾治理村2个。</w:t>
            </w:r>
          </w:p>
        </w:tc>
        <w:tc>
          <w:tcPr>
            <w:tcW w:w="2240" w:type="dxa"/>
            <w:noWrap w:val="0"/>
            <w:vAlign w:val="center"/>
          </w:tcPr>
          <w:p>
            <w:pPr>
              <w:adjustRightInd w:val="0"/>
              <w:snapToGrid w:val="0"/>
              <w:spacing w:line="42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区城管局</w:t>
            </w:r>
          </w:p>
        </w:tc>
        <w:tc>
          <w:tcPr>
            <w:tcW w:w="1584" w:type="dxa"/>
            <w:noWrap w:val="0"/>
            <w:vAlign w:val="center"/>
          </w:tcPr>
          <w:p>
            <w:pPr>
              <w:adjustRightInd w:val="0"/>
              <w:snapToGrid w:val="0"/>
              <w:spacing w:line="42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85" w:hRule="atLeast"/>
          <w:jc w:val="center"/>
        </w:trPr>
        <w:tc>
          <w:tcPr>
            <w:tcW w:w="731" w:type="dxa"/>
            <w:noWrap w:val="0"/>
            <w:vAlign w:val="center"/>
          </w:tcPr>
          <w:p>
            <w:pPr>
              <w:adjustRightInd w:val="0"/>
              <w:snapToGrid w:val="0"/>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8</w:t>
            </w:r>
          </w:p>
        </w:tc>
        <w:tc>
          <w:tcPr>
            <w:tcW w:w="1085" w:type="dxa"/>
            <w:vMerge w:val="continue"/>
            <w:noWrap w:val="0"/>
            <w:vAlign w:val="center"/>
          </w:tcPr>
          <w:p>
            <w:pPr>
              <w:adjustRightInd w:val="0"/>
              <w:snapToGrid w:val="0"/>
              <w:jc w:val="center"/>
              <w:rPr>
                <w:rFonts w:hint="eastAsia" w:ascii="方正仿宋_GBK" w:hAnsi="方正仿宋_GBK" w:eastAsia="方正仿宋_GBK" w:cs="方正仿宋_GBK"/>
                <w:sz w:val="24"/>
              </w:rPr>
            </w:pPr>
          </w:p>
        </w:tc>
        <w:tc>
          <w:tcPr>
            <w:tcW w:w="7147" w:type="dxa"/>
            <w:noWrap w:val="0"/>
            <w:vAlign w:val="center"/>
          </w:tcPr>
          <w:p>
            <w:pPr>
              <w:adjustRightInd w:val="0"/>
              <w:snapToGrid w:val="0"/>
              <w:spacing w:line="420" w:lineRule="exact"/>
              <w:jc w:val="left"/>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2019年农村生活垃圾有效治理率达90%，2020年农村生活垃圾有效治理率达95%</w:t>
            </w:r>
          </w:p>
        </w:tc>
        <w:tc>
          <w:tcPr>
            <w:tcW w:w="2240" w:type="dxa"/>
            <w:noWrap w:val="0"/>
            <w:vAlign w:val="center"/>
          </w:tcPr>
          <w:p>
            <w:pPr>
              <w:adjustRightInd w:val="0"/>
              <w:snapToGrid w:val="0"/>
              <w:spacing w:line="42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区城管局</w:t>
            </w:r>
          </w:p>
        </w:tc>
        <w:tc>
          <w:tcPr>
            <w:tcW w:w="1584" w:type="dxa"/>
            <w:noWrap w:val="0"/>
            <w:vAlign w:val="center"/>
          </w:tcPr>
          <w:p>
            <w:pPr>
              <w:adjustRightInd w:val="0"/>
              <w:snapToGrid w:val="0"/>
              <w:spacing w:line="42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6" w:hRule="atLeast"/>
          <w:jc w:val="center"/>
        </w:trPr>
        <w:tc>
          <w:tcPr>
            <w:tcW w:w="731" w:type="dxa"/>
            <w:noWrap w:val="0"/>
            <w:vAlign w:val="center"/>
          </w:tcPr>
          <w:p>
            <w:pPr>
              <w:adjustRightInd w:val="0"/>
              <w:snapToGrid w:val="0"/>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9</w:t>
            </w:r>
          </w:p>
        </w:tc>
        <w:tc>
          <w:tcPr>
            <w:tcW w:w="1085" w:type="dxa"/>
            <w:vMerge w:val="continue"/>
            <w:noWrap w:val="0"/>
            <w:vAlign w:val="center"/>
          </w:tcPr>
          <w:p>
            <w:pPr>
              <w:adjustRightInd w:val="0"/>
              <w:snapToGrid w:val="0"/>
              <w:jc w:val="center"/>
              <w:rPr>
                <w:rFonts w:hint="eastAsia" w:ascii="方正仿宋_GBK" w:hAnsi="方正仿宋_GBK" w:eastAsia="方正仿宋_GBK" w:cs="方正仿宋_GBK"/>
                <w:sz w:val="24"/>
              </w:rPr>
            </w:pPr>
          </w:p>
        </w:tc>
        <w:tc>
          <w:tcPr>
            <w:tcW w:w="7147" w:type="dxa"/>
            <w:noWrap w:val="0"/>
            <w:vAlign w:val="center"/>
          </w:tcPr>
          <w:p>
            <w:pPr>
              <w:adjustRightInd w:val="0"/>
              <w:snapToGrid w:val="0"/>
              <w:spacing w:line="420" w:lineRule="exact"/>
              <w:jc w:val="left"/>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加快推进金溪镇垃圾分类试点，2019年完成创建农村生活垃圾分类示范村5个，2020年完成创建生活垃圾分类示范村10个。</w:t>
            </w:r>
          </w:p>
        </w:tc>
        <w:tc>
          <w:tcPr>
            <w:tcW w:w="2240" w:type="dxa"/>
            <w:noWrap w:val="0"/>
            <w:vAlign w:val="center"/>
          </w:tcPr>
          <w:p>
            <w:pPr>
              <w:adjustRightInd w:val="0"/>
              <w:snapToGrid w:val="0"/>
              <w:spacing w:line="42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区城管局</w:t>
            </w:r>
          </w:p>
        </w:tc>
        <w:tc>
          <w:tcPr>
            <w:tcW w:w="1584" w:type="dxa"/>
            <w:noWrap w:val="0"/>
            <w:vAlign w:val="center"/>
          </w:tcPr>
          <w:p>
            <w:pPr>
              <w:adjustRightInd w:val="0"/>
              <w:snapToGrid w:val="0"/>
              <w:spacing w:line="42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6" w:hRule="atLeast"/>
          <w:jc w:val="center"/>
        </w:trPr>
        <w:tc>
          <w:tcPr>
            <w:tcW w:w="731" w:type="dxa"/>
            <w:noWrap w:val="0"/>
            <w:vAlign w:val="center"/>
          </w:tcPr>
          <w:p>
            <w:pPr>
              <w:adjustRightInd w:val="0"/>
              <w:snapToGrid w:val="0"/>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sz w:val="24"/>
              </w:rPr>
              <w:t>10</w:t>
            </w:r>
          </w:p>
        </w:tc>
        <w:tc>
          <w:tcPr>
            <w:tcW w:w="1085" w:type="dxa"/>
            <w:vMerge w:val="continue"/>
            <w:noWrap w:val="0"/>
            <w:vAlign w:val="center"/>
          </w:tcPr>
          <w:p>
            <w:pPr>
              <w:adjustRightInd w:val="0"/>
              <w:snapToGrid w:val="0"/>
              <w:jc w:val="center"/>
              <w:rPr>
                <w:rFonts w:hint="eastAsia" w:ascii="方正仿宋_GBK" w:hAnsi="方正仿宋_GBK" w:eastAsia="方正仿宋_GBK" w:cs="方正仿宋_GBK"/>
                <w:sz w:val="24"/>
              </w:rPr>
            </w:pPr>
          </w:p>
        </w:tc>
        <w:tc>
          <w:tcPr>
            <w:tcW w:w="7147" w:type="dxa"/>
            <w:noWrap w:val="0"/>
            <w:vAlign w:val="center"/>
          </w:tcPr>
          <w:p>
            <w:pPr>
              <w:adjustRightInd w:val="0"/>
              <w:snapToGrid w:val="0"/>
              <w:spacing w:line="420" w:lineRule="exact"/>
              <w:jc w:val="left"/>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2018年已完成非正规垃圾堆放点整治任务，继续加大排查，确保无新的非正规垃圾堆放点产生。</w:t>
            </w:r>
          </w:p>
        </w:tc>
        <w:tc>
          <w:tcPr>
            <w:tcW w:w="2240" w:type="dxa"/>
            <w:noWrap w:val="0"/>
            <w:vAlign w:val="center"/>
          </w:tcPr>
          <w:p>
            <w:pPr>
              <w:adjustRightInd w:val="0"/>
              <w:snapToGrid w:val="0"/>
              <w:spacing w:line="42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区城管局、区住房城乡建委</w:t>
            </w:r>
          </w:p>
        </w:tc>
        <w:tc>
          <w:tcPr>
            <w:tcW w:w="1584" w:type="dxa"/>
            <w:noWrap w:val="0"/>
            <w:vAlign w:val="center"/>
          </w:tcPr>
          <w:p>
            <w:pPr>
              <w:adjustRightInd w:val="0"/>
              <w:snapToGrid w:val="0"/>
              <w:spacing w:line="42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731" w:type="dxa"/>
            <w:noWrap w:val="0"/>
            <w:vAlign w:val="center"/>
          </w:tcPr>
          <w:p>
            <w:pPr>
              <w:adjustRightInd w:val="0"/>
              <w:snapToGrid w:val="0"/>
              <w:jc w:val="center"/>
              <w:textAlignment w:val="center"/>
              <w:rPr>
                <w:rFonts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11</w:t>
            </w:r>
          </w:p>
        </w:tc>
        <w:tc>
          <w:tcPr>
            <w:tcW w:w="1085" w:type="dxa"/>
            <w:vMerge w:val="restart"/>
            <w:noWrap w:val="0"/>
            <w:vAlign w:val="center"/>
          </w:tcPr>
          <w:p>
            <w:pPr>
              <w:adjustRightInd w:val="0"/>
              <w:snapToGrid w:val="0"/>
              <w:spacing w:line="280" w:lineRule="exact"/>
              <w:jc w:val="center"/>
              <w:textAlignment w:val="center"/>
              <w:rPr>
                <w:rFonts w:hint="eastAsia"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（三）</w:t>
            </w:r>
          </w:p>
          <w:p>
            <w:pPr>
              <w:adjustRightInd w:val="0"/>
              <w:snapToGrid w:val="0"/>
              <w:jc w:val="center"/>
              <w:rPr>
                <w:rFonts w:hint="eastAsia"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加快推进农村生活污水治理</w:t>
            </w:r>
          </w:p>
        </w:tc>
        <w:tc>
          <w:tcPr>
            <w:tcW w:w="7147" w:type="dxa"/>
            <w:noWrap w:val="0"/>
            <w:vAlign w:val="center"/>
          </w:tcPr>
          <w:p>
            <w:pPr>
              <w:adjustRightInd w:val="0"/>
              <w:snapToGrid w:val="0"/>
              <w:jc w:val="left"/>
              <w:textAlignment w:val="center"/>
              <w:rPr>
                <w:rFonts w:hint="eastAsia"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加快乡镇污水管网建设，到2020年累计建设完善农村生活污水管网约39公里。2019年建设完善16公里，2020年建设完善23公里（以市上下达任务为准）。</w:t>
            </w:r>
          </w:p>
        </w:tc>
        <w:tc>
          <w:tcPr>
            <w:tcW w:w="2240" w:type="dxa"/>
            <w:noWrap w:val="0"/>
            <w:vAlign w:val="center"/>
          </w:tcPr>
          <w:p>
            <w:pPr>
              <w:adjustRightInd w:val="0"/>
              <w:snapToGrid w:val="0"/>
              <w:jc w:val="center"/>
              <w:textAlignment w:val="center"/>
              <w:rPr>
                <w:rFonts w:hint="eastAsia"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区生态环境局、区住房城乡建委</w:t>
            </w:r>
          </w:p>
        </w:tc>
        <w:tc>
          <w:tcPr>
            <w:tcW w:w="1584" w:type="dxa"/>
            <w:noWrap w:val="0"/>
            <w:vAlign w:val="center"/>
          </w:tcPr>
          <w:p>
            <w:pPr>
              <w:adjustRightInd w:val="0"/>
              <w:snapToGrid w:val="0"/>
              <w:jc w:val="center"/>
              <w:textAlignment w:val="center"/>
              <w:rPr>
                <w:rFonts w:hint="eastAsia"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731" w:type="dxa"/>
            <w:noWrap w:val="0"/>
            <w:vAlign w:val="center"/>
          </w:tcPr>
          <w:p>
            <w:pPr>
              <w:adjustRightInd w:val="0"/>
              <w:snapToGrid w:val="0"/>
              <w:jc w:val="center"/>
              <w:textAlignment w:val="center"/>
              <w:rPr>
                <w:rFonts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12</w:t>
            </w:r>
          </w:p>
        </w:tc>
        <w:tc>
          <w:tcPr>
            <w:tcW w:w="1085" w:type="dxa"/>
            <w:vMerge w:val="continue"/>
            <w:noWrap w:val="0"/>
            <w:vAlign w:val="center"/>
          </w:tcPr>
          <w:p>
            <w:pPr>
              <w:adjustRightInd w:val="0"/>
              <w:snapToGrid w:val="0"/>
              <w:jc w:val="center"/>
              <w:rPr>
                <w:rFonts w:hint="eastAsia" w:ascii="方正仿宋_GBK" w:hAnsi="方正仿宋_GBK" w:eastAsia="方正仿宋_GBK" w:cs="方正仿宋_GBK"/>
                <w:kern w:val="0"/>
                <w:sz w:val="24"/>
                <w:lang w:bidi="ar"/>
              </w:rPr>
            </w:pPr>
          </w:p>
        </w:tc>
        <w:tc>
          <w:tcPr>
            <w:tcW w:w="7147" w:type="dxa"/>
            <w:noWrap w:val="0"/>
            <w:vAlign w:val="center"/>
          </w:tcPr>
          <w:p>
            <w:pPr>
              <w:adjustRightInd w:val="0"/>
              <w:snapToGrid w:val="0"/>
              <w:jc w:val="left"/>
              <w:textAlignment w:val="center"/>
              <w:rPr>
                <w:rFonts w:hint="eastAsia"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开展行政村环境综合整治，2019年完成16个行政村的环境综合整治任务，2020年计划完成10个行政村的环境综合整治任务（以市上下达任务为准）。</w:t>
            </w:r>
          </w:p>
        </w:tc>
        <w:tc>
          <w:tcPr>
            <w:tcW w:w="2240" w:type="dxa"/>
            <w:noWrap w:val="0"/>
            <w:vAlign w:val="center"/>
          </w:tcPr>
          <w:p>
            <w:pPr>
              <w:adjustRightInd w:val="0"/>
              <w:snapToGrid w:val="0"/>
              <w:jc w:val="center"/>
              <w:textAlignment w:val="center"/>
              <w:rPr>
                <w:rFonts w:hint="eastAsia"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区生态环境局</w:t>
            </w:r>
          </w:p>
        </w:tc>
        <w:tc>
          <w:tcPr>
            <w:tcW w:w="1584" w:type="dxa"/>
            <w:noWrap w:val="0"/>
            <w:vAlign w:val="center"/>
          </w:tcPr>
          <w:p>
            <w:pPr>
              <w:adjustRightInd w:val="0"/>
              <w:snapToGrid w:val="0"/>
              <w:jc w:val="center"/>
              <w:textAlignment w:val="center"/>
              <w:rPr>
                <w:rFonts w:hint="eastAsia"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731" w:type="dxa"/>
            <w:noWrap w:val="0"/>
            <w:vAlign w:val="center"/>
          </w:tcPr>
          <w:p>
            <w:pPr>
              <w:adjustRightInd w:val="0"/>
              <w:snapToGrid w:val="0"/>
              <w:jc w:val="center"/>
              <w:textAlignment w:val="center"/>
              <w:rPr>
                <w:rFonts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13</w:t>
            </w:r>
          </w:p>
        </w:tc>
        <w:tc>
          <w:tcPr>
            <w:tcW w:w="1085" w:type="dxa"/>
            <w:vMerge w:val="continue"/>
            <w:noWrap w:val="0"/>
            <w:vAlign w:val="center"/>
          </w:tcPr>
          <w:p>
            <w:pPr>
              <w:adjustRightInd w:val="0"/>
              <w:snapToGrid w:val="0"/>
              <w:jc w:val="center"/>
              <w:rPr>
                <w:rFonts w:hint="eastAsia" w:ascii="方正仿宋_GBK" w:hAnsi="方正仿宋_GBK" w:eastAsia="方正仿宋_GBK" w:cs="方正仿宋_GBK"/>
                <w:kern w:val="0"/>
                <w:sz w:val="24"/>
                <w:lang w:bidi="ar"/>
              </w:rPr>
            </w:pPr>
          </w:p>
        </w:tc>
        <w:tc>
          <w:tcPr>
            <w:tcW w:w="7147" w:type="dxa"/>
            <w:noWrap w:val="0"/>
            <w:vAlign w:val="center"/>
          </w:tcPr>
          <w:p>
            <w:pPr>
              <w:adjustRightInd w:val="0"/>
              <w:snapToGrid w:val="0"/>
              <w:jc w:val="left"/>
              <w:textAlignment w:val="center"/>
              <w:rPr>
                <w:rFonts w:hint="eastAsia"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实施9座集中式污水处理设施技术改造，2019年实施3座，2020年实施6座。</w:t>
            </w:r>
          </w:p>
        </w:tc>
        <w:tc>
          <w:tcPr>
            <w:tcW w:w="2240" w:type="dxa"/>
            <w:noWrap w:val="0"/>
            <w:vAlign w:val="center"/>
          </w:tcPr>
          <w:p>
            <w:pPr>
              <w:adjustRightInd w:val="0"/>
              <w:snapToGrid w:val="0"/>
              <w:jc w:val="center"/>
              <w:textAlignment w:val="center"/>
              <w:rPr>
                <w:rFonts w:hint="eastAsia"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区生态环境局</w:t>
            </w:r>
          </w:p>
        </w:tc>
        <w:tc>
          <w:tcPr>
            <w:tcW w:w="1584" w:type="dxa"/>
            <w:noWrap w:val="0"/>
            <w:vAlign w:val="center"/>
          </w:tcPr>
          <w:p>
            <w:pPr>
              <w:adjustRightInd w:val="0"/>
              <w:snapToGrid w:val="0"/>
              <w:jc w:val="center"/>
              <w:rPr>
                <w:rFonts w:hint="eastAsia" w:ascii="方正仿宋_GBK" w:hAnsi="方正仿宋_GBK" w:eastAsia="方正仿宋_GBK" w:cs="方正仿宋_GBK"/>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731" w:type="dxa"/>
            <w:noWrap w:val="0"/>
            <w:vAlign w:val="center"/>
          </w:tcPr>
          <w:p>
            <w:pPr>
              <w:adjustRightInd w:val="0"/>
              <w:snapToGrid w:val="0"/>
              <w:jc w:val="center"/>
              <w:textAlignment w:val="center"/>
              <w:rPr>
                <w:rFonts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14</w:t>
            </w:r>
          </w:p>
        </w:tc>
        <w:tc>
          <w:tcPr>
            <w:tcW w:w="1085" w:type="dxa"/>
            <w:vMerge w:val="continue"/>
            <w:noWrap w:val="0"/>
            <w:vAlign w:val="center"/>
          </w:tcPr>
          <w:p>
            <w:pPr>
              <w:adjustRightInd w:val="0"/>
              <w:snapToGrid w:val="0"/>
              <w:jc w:val="center"/>
              <w:rPr>
                <w:rFonts w:hint="eastAsia" w:ascii="方正仿宋_GBK" w:hAnsi="方正仿宋_GBK" w:eastAsia="方正仿宋_GBK" w:cs="方正仿宋_GBK"/>
                <w:kern w:val="0"/>
                <w:sz w:val="24"/>
                <w:lang w:bidi="ar"/>
              </w:rPr>
            </w:pPr>
          </w:p>
        </w:tc>
        <w:tc>
          <w:tcPr>
            <w:tcW w:w="7147" w:type="dxa"/>
            <w:noWrap w:val="0"/>
            <w:vAlign w:val="center"/>
          </w:tcPr>
          <w:p>
            <w:pPr>
              <w:adjustRightInd w:val="0"/>
              <w:snapToGrid w:val="0"/>
              <w:jc w:val="left"/>
              <w:textAlignment w:val="center"/>
              <w:rPr>
                <w:rFonts w:hint="eastAsia"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全区农村生活污水处理率65%以上。2019年达64%，2020年达65%。</w:t>
            </w:r>
          </w:p>
        </w:tc>
        <w:tc>
          <w:tcPr>
            <w:tcW w:w="2240" w:type="dxa"/>
            <w:noWrap w:val="0"/>
            <w:vAlign w:val="center"/>
          </w:tcPr>
          <w:p>
            <w:pPr>
              <w:adjustRightInd w:val="0"/>
              <w:snapToGrid w:val="0"/>
              <w:jc w:val="center"/>
              <w:textAlignment w:val="center"/>
              <w:rPr>
                <w:rFonts w:hint="eastAsia"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区生态环境局、区住房城乡建委</w:t>
            </w:r>
          </w:p>
        </w:tc>
        <w:tc>
          <w:tcPr>
            <w:tcW w:w="1584" w:type="dxa"/>
            <w:noWrap w:val="0"/>
            <w:vAlign w:val="center"/>
          </w:tcPr>
          <w:p>
            <w:pPr>
              <w:adjustRightInd w:val="0"/>
              <w:snapToGrid w:val="0"/>
              <w:jc w:val="center"/>
              <w:textAlignment w:val="center"/>
              <w:rPr>
                <w:rFonts w:hint="eastAsia"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731" w:type="dxa"/>
            <w:noWrap w:val="0"/>
            <w:vAlign w:val="center"/>
          </w:tcPr>
          <w:p>
            <w:pPr>
              <w:adjustRightInd w:val="0"/>
              <w:snapToGrid w:val="0"/>
              <w:jc w:val="center"/>
              <w:textAlignment w:val="center"/>
              <w:rPr>
                <w:rFonts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15</w:t>
            </w:r>
          </w:p>
        </w:tc>
        <w:tc>
          <w:tcPr>
            <w:tcW w:w="1085" w:type="dxa"/>
            <w:vMerge w:val="continue"/>
            <w:noWrap w:val="0"/>
            <w:vAlign w:val="center"/>
          </w:tcPr>
          <w:p>
            <w:pPr>
              <w:adjustRightInd w:val="0"/>
              <w:snapToGrid w:val="0"/>
              <w:jc w:val="center"/>
              <w:rPr>
                <w:rFonts w:hint="eastAsia" w:ascii="方正仿宋_GBK" w:hAnsi="方正仿宋_GBK" w:eastAsia="方正仿宋_GBK" w:cs="方正仿宋_GBK"/>
                <w:kern w:val="0"/>
                <w:sz w:val="24"/>
                <w:lang w:bidi="ar"/>
              </w:rPr>
            </w:pPr>
          </w:p>
        </w:tc>
        <w:tc>
          <w:tcPr>
            <w:tcW w:w="7147" w:type="dxa"/>
            <w:noWrap w:val="0"/>
            <w:vAlign w:val="center"/>
          </w:tcPr>
          <w:p>
            <w:pPr>
              <w:adjustRightInd w:val="0"/>
              <w:snapToGrid w:val="0"/>
              <w:jc w:val="left"/>
              <w:textAlignment w:val="center"/>
              <w:rPr>
                <w:rFonts w:hint="eastAsia"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加强污水处理设施运营管理。</w:t>
            </w:r>
          </w:p>
        </w:tc>
        <w:tc>
          <w:tcPr>
            <w:tcW w:w="2240" w:type="dxa"/>
            <w:noWrap w:val="0"/>
            <w:vAlign w:val="center"/>
          </w:tcPr>
          <w:p>
            <w:pPr>
              <w:adjustRightInd w:val="0"/>
              <w:snapToGrid w:val="0"/>
              <w:jc w:val="center"/>
              <w:textAlignment w:val="center"/>
              <w:rPr>
                <w:rFonts w:hint="eastAsia"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区生态环境局</w:t>
            </w:r>
          </w:p>
        </w:tc>
        <w:tc>
          <w:tcPr>
            <w:tcW w:w="1584" w:type="dxa"/>
            <w:noWrap w:val="0"/>
            <w:vAlign w:val="center"/>
          </w:tcPr>
          <w:p>
            <w:pPr>
              <w:adjustRightInd w:val="0"/>
              <w:snapToGrid w:val="0"/>
              <w:jc w:val="center"/>
              <w:rPr>
                <w:rFonts w:hint="eastAsia"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1" w:hRule="atLeast"/>
          <w:jc w:val="center"/>
        </w:trPr>
        <w:tc>
          <w:tcPr>
            <w:tcW w:w="731" w:type="dxa"/>
            <w:noWrap w:val="0"/>
            <w:vAlign w:val="center"/>
          </w:tcPr>
          <w:p>
            <w:pPr>
              <w:adjustRightInd w:val="0"/>
              <w:snapToGrid w:val="0"/>
              <w:jc w:val="center"/>
              <w:textAlignment w:val="center"/>
              <w:rPr>
                <w:rFonts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16</w:t>
            </w:r>
          </w:p>
        </w:tc>
        <w:tc>
          <w:tcPr>
            <w:tcW w:w="1085" w:type="dxa"/>
            <w:vMerge w:val="restart"/>
            <w:noWrap w:val="0"/>
            <w:vAlign w:val="center"/>
          </w:tcPr>
          <w:p>
            <w:pPr>
              <w:adjustRightInd w:val="0"/>
              <w:snapToGrid w:val="0"/>
              <w:jc w:val="center"/>
              <w:rPr>
                <w:rFonts w:hint="eastAsia" w:ascii="方正仿宋_GBK" w:hAnsi="方正仿宋_GBK" w:eastAsia="方正仿宋_GBK" w:cs="方正仿宋_GBK"/>
                <w:kern w:val="0"/>
                <w:sz w:val="24"/>
                <w:lang w:bidi="ar"/>
              </w:rPr>
            </w:pPr>
          </w:p>
          <w:p>
            <w:pPr>
              <w:adjustRightInd w:val="0"/>
              <w:snapToGrid w:val="0"/>
              <w:jc w:val="center"/>
              <w:rPr>
                <w:rFonts w:hint="eastAsia" w:ascii="方正仿宋_GBK" w:hAnsi="方正仿宋_GBK" w:eastAsia="方正仿宋_GBK" w:cs="方正仿宋_GBK"/>
                <w:kern w:val="0"/>
                <w:sz w:val="24"/>
                <w:lang w:bidi="ar"/>
              </w:rPr>
            </w:pPr>
          </w:p>
          <w:p>
            <w:pPr>
              <w:adjustRightInd w:val="0"/>
              <w:snapToGrid w:val="0"/>
              <w:jc w:val="center"/>
              <w:rPr>
                <w:rFonts w:hint="eastAsia" w:ascii="方正仿宋_GBK" w:hAnsi="方正仿宋_GBK" w:eastAsia="方正仿宋_GBK" w:cs="方正仿宋_GBK"/>
                <w:kern w:val="0"/>
                <w:sz w:val="24"/>
                <w:lang w:bidi="ar"/>
              </w:rPr>
            </w:pPr>
          </w:p>
          <w:p>
            <w:pPr>
              <w:adjustRightInd w:val="0"/>
              <w:snapToGrid w:val="0"/>
              <w:jc w:val="center"/>
              <w:rPr>
                <w:rFonts w:hint="eastAsia" w:ascii="方正仿宋_GBK" w:hAnsi="方正仿宋_GBK" w:eastAsia="方正仿宋_GBK" w:cs="方正仿宋_GBK"/>
                <w:kern w:val="0"/>
                <w:sz w:val="24"/>
                <w:lang w:bidi="ar"/>
              </w:rPr>
            </w:pPr>
          </w:p>
          <w:p>
            <w:pPr>
              <w:adjustRightInd w:val="0"/>
              <w:snapToGrid w:val="0"/>
              <w:jc w:val="center"/>
              <w:rPr>
                <w:rFonts w:hint="eastAsia"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（四）着力解决养殖业污染</w:t>
            </w:r>
          </w:p>
          <w:p>
            <w:pPr>
              <w:adjustRightInd w:val="0"/>
              <w:snapToGrid w:val="0"/>
              <w:jc w:val="center"/>
              <w:rPr>
                <w:rFonts w:hint="eastAsia" w:ascii="方正仿宋_GBK" w:hAnsi="方正仿宋_GBK" w:eastAsia="方正仿宋_GBK" w:cs="方正仿宋_GBK"/>
                <w:kern w:val="0"/>
                <w:sz w:val="24"/>
                <w:lang w:bidi="ar"/>
              </w:rPr>
            </w:pPr>
          </w:p>
          <w:p>
            <w:pPr>
              <w:adjustRightInd w:val="0"/>
              <w:snapToGrid w:val="0"/>
              <w:rPr>
                <w:rFonts w:hint="eastAsia"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（四）着力解决养殖业污染</w:t>
            </w:r>
          </w:p>
        </w:tc>
        <w:tc>
          <w:tcPr>
            <w:tcW w:w="7147" w:type="dxa"/>
            <w:noWrap w:val="0"/>
            <w:vAlign w:val="center"/>
          </w:tcPr>
          <w:p>
            <w:pPr>
              <w:adjustRightInd w:val="0"/>
              <w:snapToGrid w:val="0"/>
              <w:jc w:val="left"/>
              <w:textAlignment w:val="center"/>
              <w:rPr>
                <w:rFonts w:hint="eastAsia"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2019年完成种养循环发展规划编制。</w:t>
            </w:r>
          </w:p>
        </w:tc>
        <w:tc>
          <w:tcPr>
            <w:tcW w:w="2240" w:type="dxa"/>
            <w:noWrap w:val="0"/>
            <w:vAlign w:val="center"/>
          </w:tcPr>
          <w:p>
            <w:pPr>
              <w:adjustRightInd w:val="0"/>
              <w:snapToGrid w:val="0"/>
              <w:jc w:val="center"/>
              <w:textAlignment w:val="center"/>
              <w:rPr>
                <w:rFonts w:hint="eastAsia"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区畜牧技术服务中心</w:t>
            </w:r>
          </w:p>
        </w:tc>
        <w:tc>
          <w:tcPr>
            <w:tcW w:w="1584" w:type="dxa"/>
            <w:noWrap w:val="0"/>
            <w:vAlign w:val="center"/>
          </w:tcPr>
          <w:p>
            <w:pPr>
              <w:adjustRightInd w:val="0"/>
              <w:snapToGrid w:val="0"/>
              <w:jc w:val="center"/>
              <w:rPr>
                <w:rFonts w:hint="eastAsia" w:ascii="方正仿宋_GBK" w:hAnsi="方正仿宋_GBK" w:eastAsia="方正仿宋_GBK" w:cs="方正仿宋_GBK"/>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2" w:hRule="atLeast"/>
          <w:jc w:val="center"/>
        </w:trPr>
        <w:tc>
          <w:tcPr>
            <w:tcW w:w="731" w:type="dxa"/>
            <w:noWrap w:val="0"/>
            <w:vAlign w:val="center"/>
          </w:tcPr>
          <w:p>
            <w:pPr>
              <w:adjustRightInd w:val="0"/>
              <w:snapToGrid w:val="0"/>
              <w:jc w:val="center"/>
              <w:textAlignment w:val="center"/>
              <w:rPr>
                <w:rFonts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17</w:t>
            </w:r>
          </w:p>
        </w:tc>
        <w:tc>
          <w:tcPr>
            <w:tcW w:w="1085" w:type="dxa"/>
            <w:vMerge w:val="continue"/>
            <w:noWrap w:val="0"/>
            <w:vAlign w:val="center"/>
          </w:tcPr>
          <w:p>
            <w:pPr>
              <w:adjustRightInd w:val="0"/>
              <w:snapToGrid w:val="0"/>
              <w:jc w:val="center"/>
              <w:rPr>
                <w:rFonts w:hint="eastAsia" w:ascii="方正仿宋_GBK" w:hAnsi="方正仿宋_GBK" w:eastAsia="方正仿宋_GBK" w:cs="方正仿宋_GBK"/>
                <w:kern w:val="0"/>
                <w:sz w:val="24"/>
                <w:lang w:bidi="ar"/>
              </w:rPr>
            </w:pPr>
          </w:p>
        </w:tc>
        <w:tc>
          <w:tcPr>
            <w:tcW w:w="7147" w:type="dxa"/>
            <w:noWrap w:val="0"/>
            <w:vAlign w:val="center"/>
          </w:tcPr>
          <w:p>
            <w:pPr>
              <w:adjustRightInd w:val="0"/>
              <w:snapToGrid w:val="0"/>
              <w:jc w:val="left"/>
              <w:textAlignment w:val="center"/>
              <w:rPr>
                <w:rFonts w:hint="eastAsia"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依法关闭搬迁禁养区内畜禽规模养殖场和常年存栏20-200头生猪当量养殖专业户。</w:t>
            </w:r>
          </w:p>
        </w:tc>
        <w:tc>
          <w:tcPr>
            <w:tcW w:w="2240" w:type="dxa"/>
            <w:noWrap w:val="0"/>
            <w:vAlign w:val="center"/>
          </w:tcPr>
          <w:p>
            <w:pPr>
              <w:adjustRightInd w:val="0"/>
              <w:snapToGrid w:val="0"/>
              <w:jc w:val="center"/>
              <w:textAlignment w:val="center"/>
              <w:rPr>
                <w:rFonts w:hint="eastAsia"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区畜牧技术服务中心</w:t>
            </w:r>
          </w:p>
        </w:tc>
        <w:tc>
          <w:tcPr>
            <w:tcW w:w="1584" w:type="dxa"/>
            <w:noWrap w:val="0"/>
            <w:vAlign w:val="center"/>
          </w:tcPr>
          <w:p>
            <w:pPr>
              <w:adjustRightInd w:val="0"/>
              <w:snapToGrid w:val="0"/>
              <w:jc w:val="center"/>
              <w:rPr>
                <w:rFonts w:hint="eastAsia"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731" w:type="dxa"/>
            <w:noWrap w:val="0"/>
            <w:vAlign w:val="center"/>
          </w:tcPr>
          <w:p>
            <w:pPr>
              <w:adjustRightInd w:val="0"/>
              <w:snapToGrid w:val="0"/>
              <w:jc w:val="center"/>
              <w:textAlignment w:val="center"/>
              <w:rPr>
                <w:rFonts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18</w:t>
            </w:r>
          </w:p>
        </w:tc>
        <w:tc>
          <w:tcPr>
            <w:tcW w:w="1085" w:type="dxa"/>
            <w:vMerge w:val="continue"/>
            <w:noWrap w:val="0"/>
            <w:vAlign w:val="center"/>
          </w:tcPr>
          <w:p>
            <w:pPr>
              <w:adjustRightInd w:val="0"/>
              <w:snapToGrid w:val="0"/>
              <w:jc w:val="center"/>
              <w:rPr>
                <w:rFonts w:hint="eastAsia" w:ascii="方正仿宋_GBK" w:hAnsi="方正仿宋_GBK" w:eastAsia="方正仿宋_GBK" w:cs="方正仿宋_GBK"/>
                <w:kern w:val="0"/>
                <w:sz w:val="24"/>
                <w:lang w:bidi="ar"/>
              </w:rPr>
            </w:pPr>
          </w:p>
        </w:tc>
        <w:tc>
          <w:tcPr>
            <w:tcW w:w="7147" w:type="dxa"/>
            <w:noWrap w:val="0"/>
            <w:vAlign w:val="center"/>
          </w:tcPr>
          <w:p>
            <w:pPr>
              <w:adjustRightInd w:val="0"/>
              <w:snapToGrid w:val="0"/>
              <w:jc w:val="left"/>
              <w:textAlignment w:val="center"/>
              <w:rPr>
                <w:rFonts w:hint="eastAsia"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2019年完成3万头生猪当量畜禽养殖污染治理设施配套整改；2020年完成2万头生猪当量污染治理设施配套建设（以市上下达为准）。</w:t>
            </w:r>
          </w:p>
        </w:tc>
        <w:tc>
          <w:tcPr>
            <w:tcW w:w="2240" w:type="dxa"/>
            <w:noWrap w:val="0"/>
            <w:vAlign w:val="center"/>
          </w:tcPr>
          <w:p>
            <w:pPr>
              <w:adjustRightInd w:val="0"/>
              <w:snapToGrid w:val="0"/>
              <w:jc w:val="center"/>
              <w:textAlignment w:val="center"/>
              <w:rPr>
                <w:rFonts w:hint="eastAsia"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区畜牧技术服务中心</w:t>
            </w:r>
          </w:p>
        </w:tc>
        <w:tc>
          <w:tcPr>
            <w:tcW w:w="1584" w:type="dxa"/>
            <w:noWrap w:val="0"/>
            <w:vAlign w:val="center"/>
          </w:tcPr>
          <w:p>
            <w:pPr>
              <w:adjustRightInd w:val="0"/>
              <w:snapToGrid w:val="0"/>
              <w:jc w:val="center"/>
              <w:rPr>
                <w:rFonts w:hint="eastAsia"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7" w:hRule="atLeast"/>
          <w:jc w:val="center"/>
        </w:trPr>
        <w:tc>
          <w:tcPr>
            <w:tcW w:w="731" w:type="dxa"/>
            <w:noWrap w:val="0"/>
            <w:vAlign w:val="center"/>
          </w:tcPr>
          <w:p>
            <w:pPr>
              <w:adjustRightInd w:val="0"/>
              <w:snapToGrid w:val="0"/>
              <w:jc w:val="center"/>
              <w:textAlignment w:val="center"/>
              <w:rPr>
                <w:rFonts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19</w:t>
            </w:r>
          </w:p>
        </w:tc>
        <w:tc>
          <w:tcPr>
            <w:tcW w:w="1085" w:type="dxa"/>
            <w:vMerge w:val="continue"/>
            <w:noWrap w:val="0"/>
            <w:vAlign w:val="center"/>
          </w:tcPr>
          <w:p>
            <w:pPr>
              <w:adjustRightInd w:val="0"/>
              <w:snapToGrid w:val="0"/>
              <w:jc w:val="center"/>
              <w:rPr>
                <w:rFonts w:hint="eastAsia" w:ascii="方正仿宋_GBK" w:hAnsi="方正仿宋_GBK" w:eastAsia="方正仿宋_GBK" w:cs="方正仿宋_GBK"/>
                <w:kern w:val="0"/>
                <w:sz w:val="24"/>
                <w:lang w:bidi="ar"/>
              </w:rPr>
            </w:pPr>
          </w:p>
        </w:tc>
        <w:tc>
          <w:tcPr>
            <w:tcW w:w="7147" w:type="dxa"/>
            <w:noWrap w:val="0"/>
            <w:vAlign w:val="center"/>
          </w:tcPr>
          <w:p>
            <w:pPr>
              <w:adjustRightInd w:val="0"/>
              <w:snapToGrid w:val="0"/>
              <w:jc w:val="left"/>
              <w:textAlignment w:val="center"/>
              <w:rPr>
                <w:rFonts w:hint="eastAsia"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2019年，大型规模养殖场粪污处理设施装备配套率达100%；2020年，规模养殖场粪污处理设施配套率达95%以上。</w:t>
            </w:r>
          </w:p>
        </w:tc>
        <w:tc>
          <w:tcPr>
            <w:tcW w:w="2240" w:type="dxa"/>
            <w:noWrap w:val="0"/>
            <w:vAlign w:val="center"/>
          </w:tcPr>
          <w:p>
            <w:pPr>
              <w:adjustRightInd w:val="0"/>
              <w:snapToGrid w:val="0"/>
              <w:jc w:val="center"/>
              <w:textAlignment w:val="center"/>
              <w:rPr>
                <w:rFonts w:hint="eastAsia"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区畜牧技术服务中心</w:t>
            </w:r>
          </w:p>
        </w:tc>
        <w:tc>
          <w:tcPr>
            <w:tcW w:w="1584" w:type="dxa"/>
            <w:noWrap w:val="0"/>
            <w:vAlign w:val="center"/>
          </w:tcPr>
          <w:p>
            <w:pPr>
              <w:adjustRightInd w:val="0"/>
              <w:snapToGrid w:val="0"/>
              <w:jc w:val="center"/>
              <w:rPr>
                <w:rFonts w:hint="eastAsia"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6" w:hRule="atLeast"/>
          <w:jc w:val="center"/>
        </w:trPr>
        <w:tc>
          <w:tcPr>
            <w:tcW w:w="731" w:type="dxa"/>
            <w:noWrap w:val="0"/>
            <w:vAlign w:val="center"/>
          </w:tcPr>
          <w:p>
            <w:pPr>
              <w:adjustRightInd w:val="0"/>
              <w:snapToGrid w:val="0"/>
              <w:jc w:val="center"/>
              <w:textAlignment w:val="center"/>
              <w:rPr>
                <w:rFonts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20</w:t>
            </w:r>
          </w:p>
        </w:tc>
        <w:tc>
          <w:tcPr>
            <w:tcW w:w="1085" w:type="dxa"/>
            <w:vMerge w:val="continue"/>
            <w:noWrap w:val="0"/>
            <w:vAlign w:val="center"/>
          </w:tcPr>
          <w:p>
            <w:pPr>
              <w:adjustRightInd w:val="0"/>
              <w:snapToGrid w:val="0"/>
              <w:jc w:val="center"/>
              <w:rPr>
                <w:rFonts w:hint="eastAsia" w:ascii="方正仿宋_GBK" w:hAnsi="方正仿宋_GBK" w:eastAsia="方正仿宋_GBK" w:cs="方正仿宋_GBK"/>
                <w:kern w:val="0"/>
                <w:sz w:val="24"/>
                <w:lang w:bidi="ar"/>
              </w:rPr>
            </w:pPr>
          </w:p>
        </w:tc>
        <w:tc>
          <w:tcPr>
            <w:tcW w:w="7147" w:type="dxa"/>
            <w:noWrap w:val="0"/>
            <w:vAlign w:val="center"/>
          </w:tcPr>
          <w:p>
            <w:pPr>
              <w:adjustRightInd w:val="0"/>
              <w:snapToGrid w:val="0"/>
              <w:jc w:val="left"/>
              <w:textAlignment w:val="center"/>
              <w:rPr>
                <w:rFonts w:hint="eastAsia"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2020年，全区畜禽粪污综合利用率达到75%以上</w:t>
            </w:r>
          </w:p>
        </w:tc>
        <w:tc>
          <w:tcPr>
            <w:tcW w:w="2240" w:type="dxa"/>
            <w:noWrap w:val="0"/>
            <w:vAlign w:val="center"/>
          </w:tcPr>
          <w:p>
            <w:pPr>
              <w:adjustRightInd w:val="0"/>
              <w:snapToGrid w:val="0"/>
              <w:jc w:val="center"/>
              <w:textAlignment w:val="center"/>
              <w:rPr>
                <w:rFonts w:hint="eastAsia"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区畜牧技术服务中心</w:t>
            </w:r>
          </w:p>
        </w:tc>
        <w:tc>
          <w:tcPr>
            <w:tcW w:w="1584" w:type="dxa"/>
            <w:noWrap w:val="0"/>
            <w:vAlign w:val="center"/>
          </w:tcPr>
          <w:p>
            <w:pPr>
              <w:adjustRightInd w:val="0"/>
              <w:snapToGrid w:val="0"/>
              <w:jc w:val="center"/>
              <w:rPr>
                <w:rFonts w:hint="eastAsia"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1" w:hRule="atLeast"/>
          <w:jc w:val="center"/>
        </w:trPr>
        <w:tc>
          <w:tcPr>
            <w:tcW w:w="731" w:type="dxa"/>
            <w:noWrap w:val="0"/>
            <w:vAlign w:val="center"/>
          </w:tcPr>
          <w:p>
            <w:pPr>
              <w:adjustRightInd w:val="0"/>
              <w:snapToGrid w:val="0"/>
              <w:jc w:val="center"/>
              <w:textAlignment w:val="center"/>
              <w:rPr>
                <w:rFonts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21</w:t>
            </w:r>
          </w:p>
        </w:tc>
        <w:tc>
          <w:tcPr>
            <w:tcW w:w="1085" w:type="dxa"/>
            <w:vMerge w:val="continue"/>
            <w:noWrap w:val="0"/>
            <w:vAlign w:val="center"/>
          </w:tcPr>
          <w:p>
            <w:pPr>
              <w:adjustRightInd w:val="0"/>
              <w:snapToGrid w:val="0"/>
              <w:jc w:val="center"/>
              <w:rPr>
                <w:rFonts w:hint="eastAsia" w:ascii="方正仿宋_GBK" w:hAnsi="方正仿宋_GBK" w:eastAsia="方正仿宋_GBK" w:cs="方正仿宋_GBK"/>
                <w:kern w:val="0"/>
                <w:sz w:val="24"/>
                <w:lang w:bidi="ar"/>
              </w:rPr>
            </w:pPr>
          </w:p>
        </w:tc>
        <w:tc>
          <w:tcPr>
            <w:tcW w:w="7147" w:type="dxa"/>
            <w:noWrap w:val="0"/>
            <w:vAlign w:val="center"/>
          </w:tcPr>
          <w:p>
            <w:pPr>
              <w:adjustRightInd w:val="0"/>
              <w:snapToGrid w:val="0"/>
              <w:jc w:val="left"/>
              <w:textAlignment w:val="center"/>
              <w:rPr>
                <w:rFonts w:hint="eastAsia"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完善畜禽养殖场直联直报信息系统。</w:t>
            </w:r>
          </w:p>
        </w:tc>
        <w:tc>
          <w:tcPr>
            <w:tcW w:w="2240" w:type="dxa"/>
            <w:noWrap w:val="0"/>
            <w:vAlign w:val="center"/>
          </w:tcPr>
          <w:p>
            <w:pPr>
              <w:adjustRightInd w:val="0"/>
              <w:snapToGrid w:val="0"/>
              <w:jc w:val="center"/>
              <w:textAlignment w:val="center"/>
              <w:rPr>
                <w:rFonts w:hint="eastAsia"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区畜牧技术服务中心</w:t>
            </w:r>
          </w:p>
        </w:tc>
        <w:tc>
          <w:tcPr>
            <w:tcW w:w="1584" w:type="dxa"/>
            <w:noWrap w:val="0"/>
            <w:vAlign w:val="center"/>
          </w:tcPr>
          <w:p>
            <w:pPr>
              <w:adjustRightInd w:val="0"/>
              <w:snapToGrid w:val="0"/>
              <w:jc w:val="center"/>
              <w:rPr>
                <w:rFonts w:hint="eastAsia"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1" w:hRule="atLeast"/>
          <w:jc w:val="center"/>
        </w:trPr>
        <w:tc>
          <w:tcPr>
            <w:tcW w:w="731" w:type="dxa"/>
            <w:noWrap w:val="0"/>
            <w:vAlign w:val="center"/>
          </w:tcPr>
          <w:p>
            <w:pPr>
              <w:adjustRightInd w:val="0"/>
              <w:snapToGrid w:val="0"/>
              <w:jc w:val="center"/>
              <w:textAlignment w:val="center"/>
              <w:rPr>
                <w:rFonts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22</w:t>
            </w:r>
          </w:p>
        </w:tc>
        <w:tc>
          <w:tcPr>
            <w:tcW w:w="1085" w:type="dxa"/>
            <w:vMerge w:val="continue"/>
            <w:noWrap w:val="0"/>
            <w:vAlign w:val="center"/>
          </w:tcPr>
          <w:p>
            <w:pPr>
              <w:adjustRightInd w:val="0"/>
              <w:snapToGrid w:val="0"/>
              <w:jc w:val="center"/>
              <w:rPr>
                <w:rFonts w:hint="eastAsia" w:ascii="方正仿宋_GBK" w:hAnsi="方正仿宋_GBK" w:eastAsia="方正仿宋_GBK" w:cs="方正仿宋_GBK"/>
                <w:kern w:val="0"/>
                <w:sz w:val="24"/>
                <w:lang w:bidi="ar"/>
              </w:rPr>
            </w:pPr>
          </w:p>
        </w:tc>
        <w:tc>
          <w:tcPr>
            <w:tcW w:w="7147" w:type="dxa"/>
            <w:noWrap w:val="0"/>
            <w:vAlign w:val="center"/>
          </w:tcPr>
          <w:p>
            <w:pPr>
              <w:adjustRightInd w:val="0"/>
              <w:snapToGrid w:val="0"/>
              <w:jc w:val="left"/>
              <w:textAlignment w:val="center"/>
              <w:rPr>
                <w:rFonts w:hint="eastAsia"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2019年完成水产养殖禁止养殖区、限制养殖区和养殖区划定。</w:t>
            </w:r>
          </w:p>
        </w:tc>
        <w:tc>
          <w:tcPr>
            <w:tcW w:w="2240" w:type="dxa"/>
            <w:noWrap w:val="0"/>
            <w:vAlign w:val="center"/>
          </w:tcPr>
          <w:p>
            <w:pPr>
              <w:adjustRightInd w:val="0"/>
              <w:snapToGrid w:val="0"/>
              <w:jc w:val="center"/>
              <w:textAlignment w:val="center"/>
              <w:rPr>
                <w:rFonts w:hint="eastAsia"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区农业农村委</w:t>
            </w:r>
          </w:p>
        </w:tc>
        <w:tc>
          <w:tcPr>
            <w:tcW w:w="1584" w:type="dxa"/>
            <w:noWrap w:val="0"/>
            <w:vAlign w:val="center"/>
          </w:tcPr>
          <w:p>
            <w:pPr>
              <w:adjustRightInd w:val="0"/>
              <w:snapToGrid w:val="0"/>
              <w:jc w:val="center"/>
              <w:rPr>
                <w:rFonts w:hint="eastAsia"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731" w:type="dxa"/>
            <w:noWrap w:val="0"/>
            <w:vAlign w:val="center"/>
          </w:tcPr>
          <w:p>
            <w:pPr>
              <w:adjustRightInd w:val="0"/>
              <w:snapToGrid w:val="0"/>
              <w:jc w:val="center"/>
              <w:textAlignment w:val="center"/>
              <w:rPr>
                <w:rFonts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23</w:t>
            </w:r>
          </w:p>
        </w:tc>
        <w:tc>
          <w:tcPr>
            <w:tcW w:w="1085" w:type="dxa"/>
            <w:vMerge w:val="restart"/>
            <w:noWrap w:val="0"/>
            <w:vAlign w:val="center"/>
          </w:tcPr>
          <w:p>
            <w:pPr>
              <w:adjustRightInd w:val="0"/>
              <w:snapToGrid w:val="0"/>
              <w:jc w:val="center"/>
              <w:rPr>
                <w:rFonts w:hint="eastAsia"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（五）有效防控种植业污染</w:t>
            </w:r>
          </w:p>
        </w:tc>
        <w:tc>
          <w:tcPr>
            <w:tcW w:w="7147" w:type="dxa"/>
            <w:noWrap w:val="0"/>
            <w:vAlign w:val="center"/>
          </w:tcPr>
          <w:p>
            <w:pPr>
              <w:adjustRightInd w:val="0"/>
              <w:snapToGrid w:val="0"/>
              <w:jc w:val="left"/>
              <w:textAlignment w:val="center"/>
              <w:rPr>
                <w:rFonts w:hint="eastAsia"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到2020年，成功创建国家果菜茶有机肥替代化肥试点县。</w:t>
            </w:r>
          </w:p>
        </w:tc>
        <w:tc>
          <w:tcPr>
            <w:tcW w:w="2240" w:type="dxa"/>
            <w:noWrap w:val="0"/>
            <w:vAlign w:val="center"/>
          </w:tcPr>
          <w:p>
            <w:pPr>
              <w:adjustRightInd w:val="0"/>
              <w:snapToGrid w:val="0"/>
              <w:jc w:val="center"/>
              <w:textAlignment w:val="center"/>
              <w:rPr>
                <w:rFonts w:hint="eastAsia"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区农业农村委</w:t>
            </w:r>
          </w:p>
        </w:tc>
        <w:tc>
          <w:tcPr>
            <w:tcW w:w="1584" w:type="dxa"/>
            <w:noWrap w:val="0"/>
            <w:vAlign w:val="center"/>
          </w:tcPr>
          <w:p>
            <w:pPr>
              <w:adjustRightInd w:val="0"/>
              <w:snapToGrid w:val="0"/>
              <w:jc w:val="center"/>
              <w:rPr>
                <w:rFonts w:hint="eastAsia"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731" w:type="dxa"/>
            <w:noWrap w:val="0"/>
            <w:vAlign w:val="center"/>
          </w:tcPr>
          <w:p>
            <w:pPr>
              <w:adjustRightInd w:val="0"/>
              <w:snapToGrid w:val="0"/>
              <w:jc w:val="center"/>
              <w:textAlignment w:val="center"/>
              <w:rPr>
                <w:rFonts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24</w:t>
            </w:r>
          </w:p>
        </w:tc>
        <w:tc>
          <w:tcPr>
            <w:tcW w:w="1085" w:type="dxa"/>
            <w:vMerge w:val="continue"/>
            <w:noWrap w:val="0"/>
            <w:vAlign w:val="center"/>
          </w:tcPr>
          <w:p>
            <w:pPr>
              <w:adjustRightInd w:val="0"/>
              <w:snapToGrid w:val="0"/>
              <w:jc w:val="center"/>
              <w:rPr>
                <w:rFonts w:hint="eastAsia" w:ascii="方正仿宋_GBK" w:hAnsi="方正仿宋_GBK" w:eastAsia="方正仿宋_GBK" w:cs="方正仿宋_GBK"/>
                <w:kern w:val="0"/>
                <w:sz w:val="24"/>
                <w:lang w:bidi="ar"/>
              </w:rPr>
            </w:pPr>
          </w:p>
        </w:tc>
        <w:tc>
          <w:tcPr>
            <w:tcW w:w="7147" w:type="dxa"/>
            <w:noWrap w:val="0"/>
            <w:vAlign w:val="center"/>
          </w:tcPr>
          <w:p>
            <w:pPr>
              <w:adjustRightInd w:val="0"/>
              <w:snapToGrid w:val="0"/>
              <w:jc w:val="left"/>
              <w:textAlignment w:val="center"/>
              <w:rPr>
                <w:rFonts w:hint="eastAsia"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2019年化肥利用率达39%以上，测土配方施肥技术覆盖率达91%以上，化肥使用量减少0.5%；2020年化肥利用率达40%以上，测土配方施肥技术覆盖率达93%以上，化肥使用量减少0.5%。</w:t>
            </w:r>
          </w:p>
        </w:tc>
        <w:tc>
          <w:tcPr>
            <w:tcW w:w="2240" w:type="dxa"/>
            <w:noWrap w:val="0"/>
            <w:vAlign w:val="center"/>
          </w:tcPr>
          <w:p>
            <w:pPr>
              <w:adjustRightInd w:val="0"/>
              <w:snapToGrid w:val="0"/>
              <w:jc w:val="center"/>
              <w:textAlignment w:val="center"/>
              <w:rPr>
                <w:rFonts w:hint="eastAsia"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区农业农村委</w:t>
            </w:r>
          </w:p>
        </w:tc>
        <w:tc>
          <w:tcPr>
            <w:tcW w:w="1584" w:type="dxa"/>
            <w:noWrap w:val="0"/>
            <w:vAlign w:val="center"/>
          </w:tcPr>
          <w:p>
            <w:pPr>
              <w:adjustRightInd w:val="0"/>
              <w:snapToGrid w:val="0"/>
              <w:jc w:val="center"/>
              <w:rPr>
                <w:rFonts w:hint="eastAsia"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8" w:hRule="atLeast"/>
          <w:jc w:val="center"/>
        </w:trPr>
        <w:tc>
          <w:tcPr>
            <w:tcW w:w="731" w:type="dxa"/>
            <w:noWrap w:val="0"/>
            <w:vAlign w:val="center"/>
          </w:tcPr>
          <w:p>
            <w:pPr>
              <w:adjustRightInd w:val="0"/>
              <w:snapToGrid w:val="0"/>
              <w:jc w:val="center"/>
              <w:textAlignment w:val="center"/>
              <w:rPr>
                <w:rFonts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25</w:t>
            </w:r>
          </w:p>
        </w:tc>
        <w:tc>
          <w:tcPr>
            <w:tcW w:w="1085" w:type="dxa"/>
            <w:vMerge w:val="continue"/>
            <w:noWrap w:val="0"/>
            <w:vAlign w:val="center"/>
          </w:tcPr>
          <w:p>
            <w:pPr>
              <w:adjustRightInd w:val="0"/>
              <w:snapToGrid w:val="0"/>
              <w:jc w:val="center"/>
              <w:rPr>
                <w:rFonts w:hint="eastAsia" w:ascii="方正仿宋_GBK" w:hAnsi="方正仿宋_GBK" w:eastAsia="方正仿宋_GBK" w:cs="方正仿宋_GBK"/>
                <w:kern w:val="0"/>
                <w:sz w:val="24"/>
                <w:lang w:bidi="ar"/>
              </w:rPr>
            </w:pPr>
          </w:p>
        </w:tc>
        <w:tc>
          <w:tcPr>
            <w:tcW w:w="7147" w:type="dxa"/>
            <w:noWrap w:val="0"/>
            <w:vAlign w:val="center"/>
          </w:tcPr>
          <w:p>
            <w:pPr>
              <w:adjustRightInd w:val="0"/>
              <w:snapToGrid w:val="0"/>
              <w:jc w:val="left"/>
              <w:textAlignment w:val="center"/>
              <w:rPr>
                <w:rFonts w:hint="eastAsia"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到2020年全区主要农作物农药使用量年度降幅达到0.5%以上、农药利用率达40%以上、绿色防控覆盖率达到30%以上、病虫害专业化统防统治覆盖率达到40%以上。</w:t>
            </w:r>
          </w:p>
        </w:tc>
        <w:tc>
          <w:tcPr>
            <w:tcW w:w="2240" w:type="dxa"/>
            <w:noWrap w:val="0"/>
            <w:vAlign w:val="center"/>
          </w:tcPr>
          <w:p>
            <w:pPr>
              <w:adjustRightInd w:val="0"/>
              <w:snapToGrid w:val="0"/>
              <w:jc w:val="center"/>
              <w:textAlignment w:val="center"/>
              <w:rPr>
                <w:rFonts w:hint="eastAsia"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区农业农村委</w:t>
            </w:r>
          </w:p>
        </w:tc>
        <w:tc>
          <w:tcPr>
            <w:tcW w:w="1584" w:type="dxa"/>
            <w:noWrap w:val="0"/>
            <w:vAlign w:val="center"/>
          </w:tcPr>
          <w:p>
            <w:pPr>
              <w:adjustRightInd w:val="0"/>
              <w:snapToGrid w:val="0"/>
              <w:jc w:val="center"/>
              <w:rPr>
                <w:rFonts w:hint="eastAsia"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731" w:type="dxa"/>
            <w:noWrap w:val="0"/>
            <w:vAlign w:val="center"/>
          </w:tcPr>
          <w:p>
            <w:pPr>
              <w:adjustRightInd w:val="0"/>
              <w:snapToGrid w:val="0"/>
              <w:jc w:val="center"/>
              <w:textAlignment w:val="center"/>
              <w:rPr>
                <w:rFonts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26</w:t>
            </w:r>
          </w:p>
        </w:tc>
        <w:tc>
          <w:tcPr>
            <w:tcW w:w="1085" w:type="dxa"/>
            <w:vMerge w:val="continue"/>
            <w:noWrap w:val="0"/>
            <w:vAlign w:val="center"/>
          </w:tcPr>
          <w:p>
            <w:pPr>
              <w:adjustRightInd w:val="0"/>
              <w:snapToGrid w:val="0"/>
              <w:jc w:val="center"/>
              <w:rPr>
                <w:rFonts w:hint="eastAsia" w:ascii="方正仿宋_GBK" w:hAnsi="方正仿宋_GBK" w:eastAsia="方正仿宋_GBK" w:cs="方正仿宋_GBK"/>
                <w:kern w:val="0"/>
                <w:sz w:val="24"/>
                <w:lang w:bidi="ar"/>
              </w:rPr>
            </w:pPr>
          </w:p>
        </w:tc>
        <w:tc>
          <w:tcPr>
            <w:tcW w:w="7147" w:type="dxa"/>
            <w:noWrap w:val="0"/>
            <w:vAlign w:val="center"/>
          </w:tcPr>
          <w:p>
            <w:pPr>
              <w:adjustRightInd w:val="0"/>
              <w:snapToGrid w:val="0"/>
              <w:jc w:val="left"/>
              <w:textAlignment w:val="center"/>
              <w:rPr>
                <w:rFonts w:hint="eastAsia"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开展秸秆综合利用试点示范。</w:t>
            </w:r>
          </w:p>
        </w:tc>
        <w:tc>
          <w:tcPr>
            <w:tcW w:w="2240" w:type="dxa"/>
            <w:noWrap w:val="0"/>
            <w:vAlign w:val="center"/>
          </w:tcPr>
          <w:p>
            <w:pPr>
              <w:adjustRightInd w:val="0"/>
              <w:snapToGrid w:val="0"/>
              <w:jc w:val="center"/>
              <w:textAlignment w:val="center"/>
              <w:rPr>
                <w:rFonts w:hint="eastAsia"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区农业农村委</w:t>
            </w:r>
          </w:p>
        </w:tc>
        <w:tc>
          <w:tcPr>
            <w:tcW w:w="1584" w:type="dxa"/>
            <w:noWrap w:val="0"/>
            <w:vAlign w:val="center"/>
          </w:tcPr>
          <w:p>
            <w:pPr>
              <w:adjustRightInd w:val="0"/>
              <w:snapToGrid w:val="0"/>
              <w:jc w:val="center"/>
              <w:rPr>
                <w:rFonts w:hint="eastAsia"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731" w:type="dxa"/>
            <w:noWrap w:val="0"/>
            <w:vAlign w:val="center"/>
          </w:tcPr>
          <w:p>
            <w:pPr>
              <w:adjustRightInd w:val="0"/>
              <w:snapToGrid w:val="0"/>
              <w:jc w:val="center"/>
              <w:textAlignment w:val="center"/>
              <w:rPr>
                <w:rFonts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27</w:t>
            </w:r>
          </w:p>
        </w:tc>
        <w:tc>
          <w:tcPr>
            <w:tcW w:w="1085" w:type="dxa"/>
            <w:vMerge w:val="continue"/>
            <w:noWrap w:val="0"/>
            <w:vAlign w:val="center"/>
          </w:tcPr>
          <w:p>
            <w:pPr>
              <w:adjustRightInd w:val="0"/>
              <w:snapToGrid w:val="0"/>
              <w:jc w:val="center"/>
              <w:rPr>
                <w:rFonts w:hint="eastAsia" w:ascii="方正仿宋_GBK" w:hAnsi="方正仿宋_GBK" w:eastAsia="方正仿宋_GBK" w:cs="方正仿宋_GBK"/>
                <w:kern w:val="0"/>
                <w:sz w:val="24"/>
                <w:lang w:bidi="ar"/>
              </w:rPr>
            </w:pPr>
          </w:p>
        </w:tc>
        <w:tc>
          <w:tcPr>
            <w:tcW w:w="7147" w:type="dxa"/>
            <w:noWrap w:val="0"/>
            <w:vAlign w:val="center"/>
          </w:tcPr>
          <w:p>
            <w:pPr>
              <w:adjustRightInd w:val="0"/>
              <w:snapToGrid w:val="0"/>
              <w:jc w:val="left"/>
              <w:textAlignment w:val="center"/>
              <w:rPr>
                <w:rFonts w:hint="eastAsia"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2019年秸秆综合利用率达85%以上；2020年秸秆综合利用率达90%以上</w:t>
            </w:r>
          </w:p>
        </w:tc>
        <w:tc>
          <w:tcPr>
            <w:tcW w:w="2240" w:type="dxa"/>
            <w:noWrap w:val="0"/>
            <w:vAlign w:val="center"/>
          </w:tcPr>
          <w:p>
            <w:pPr>
              <w:adjustRightInd w:val="0"/>
              <w:snapToGrid w:val="0"/>
              <w:jc w:val="center"/>
              <w:textAlignment w:val="center"/>
              <w:rPr>
                <w:rFonts w:hint="eastAsia"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区农业农村委</w:t>
            </w:r>
          </w:p>
        </w:tc>
        <w:tc>
          <w:tcPr>
            <w:tcW w:w="1584" w:type="dxa"/>
            <w:noWrap w:val="0"/>
            <w:vAlign w:val="center"/>
          </w:tcPr>
          <w:p>
            <w:pPr>
              <w:adjustRightInd w:val="0"/>
              <w:snapToGrid w:val="0"/>
              <w:jc w:val="center"/>
              <w:rPr>
                <w:rFonts w:hint="eastAsia"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731" w:type="dxa"/>
            <w:noWrap w:val="0"/>
            <w:vAlign w:val="center"/>
          </w:tcPr>
          <w:p>
            <w:pPr>
              <w:adjustRightInd w:val="0"/>
              <w:snapToGrid w:val="0"/>
              <w:jc w:val="center"/>
              <w:textAlignment w:val="center"/>
              <w:rPr>
                <w:rFonts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28</w:t>
            </w:r>
          </w:p>
        </w:tc>
        <w:tc>
          <w:tcPr>
            <w:tcW w:w="1085" w:type="dxa"/>
            <w:vMerge w:val="continue"/>
            <w:noWrap w:val="0"/>
            <w:vAlign w:val="center"/>
          </w:tcPr>
          <w:p>
            <w:pPr>
              <w:adjustRightInd w:val="0"/>
              <w:snapToGrid w:val="0"/>
              <w:jc w:val="center"/>
              <w:rPr>
                <w:rFonts w:hint="eastAsia" w:ascii="方正仿宋_GBK" w:hAnsi="方正仿宋_GBK" w:eastAsia="方正仿宋_GBK" w:cs="方正仿宋_GBK"/>
                <w:kern w:val="0"/>
                <w:sz w:val="24"/>
                <w:lang w:bidi="ar"/>
              </w:rPr>
            </w:pPr>
          </w:p>
        </w:tc>
        <w:tc>
          <w:tcPr>
            <w:tcW w:w="7147" w:type="dxa"/>
            <w:noWrap w:val="0"/>
            <w:vAlign w:val="center"/>
          </w:tcPr>
          <w:p>
            <w:pPr>
              <w:adjustRightInd w:val="0"/>
              <w:snapToGrid w:val="0"/>
              <w:jc w:val="left"/>
              <w:textAlignment w:val="center"/>
              <w:rPr>
                <w:rFonts w:hint="eastAsia"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开展可降解农膜试验和农膜回收利用示范。</w:t>
            </w:r>
          </w:p>
        </w:tc>
        <w:tc>
          <w:tcPr>
            <w:tcW w:w="2240" w:type="dxa"/>
            <w:noWrap w:val="0"/>
            <w:vAlign w:val="center"/>
          </w:tcPr>
          <w:p>
            <w:pPr>
              <w:adjustRightInd w:val="0"/>
              <w:snapToGrid w:val="0"/>
              <w:jc w:val="center"/>
              <w:textAlignment w:val="center"/>
              <w:rPr>
                <w:rFonts w:hint="eastAsia"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区供销合作社</w:t>
            </w:r>
          </w:p>
        </w:tc>
        <w:tc>
          <w:tcPr>
            <w:tcW w:w="1584" w:type="dxa"/>
            <w:noWrap w:val="0"/>
            <w:vAlign w:val="center"/>
          </w:tcPr>
          <w:p>
            <w:pPr>
              <w:adjustRightInd w:val="0"/>
              <w:snapToGrid w:val="0"/>
              <w:jc w:val="center"/>
              <w:rPr>
                <w:rFonts w:hint="eastAsia"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731" w:type="dxa"/>
            <w:noWrap w:val="0"/>
            <w:vAlign w:val="center"/>
          </w:tcPr>
          <w:p>
            <w:pPr>
              <w:adjustRightInd w:val="0"/>
              <w:snapToGrid w:val="0"/>
              <w:jc w:val="center"/>
              <w:textAlignment w:val="center"/>
              <w:rPr>
                <w:rFonts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29</w:t>
            </w:r>
          </w:p>
        </w:tc>
        <w:tc>
          <w:tcPr>
            <w:tcW w:w="1085" w:type="dxa"/>
            <w:vMerge w:val="continue"/>
            <w:noWrap w:val="0"/>
            <w:vAlign w:val="center"/>
          </w:tcPr>
          <w:p>
            <w:pPr>
              <w:adjustRightInd w:val="0"/>
              <w:snapToGrid w:val="0"/>
              <w:jc w:val="center"/>
              <w:rPr>
                <w:rFonts w:hint="eastAsia" w:ascii="方正仿宋_GBK" w:hAnsi="方正仿宋_GBK" w:eastAsia="方正仿宋_GBK" w:cs="方正仿宋_GBK"/>
                <w:kern w:val="0"/>
                <w:sz w:val="24"/>
                <w:lang w:bidi="ar"/>
              </w:rPr>
            </w:pPr>
          </w:p>
        </w:tc>
        <w:tc>
          <w:tcPr>
            <w:tcW w:w="7147" w:type="dxa"/>
            <w:noWrap w:val="0"/>
            <w:vAlign w:val="center"/>
          </w:tcPr>
          <w:p>
            <w:pPr>
              <w:adjustRightInd w:val="0"/>
              <w:snapToGrid w:val="0"/>
              <w:jc w:val="left"/>
              <w:textAlignment w:val="center"/>
              <w:rPr>
                <w:rFonts w:hint="eastAsia"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到2020年，全区农膜回收率达80%以上</w:t>
            </w:r>
          </w:p>
        </w:tc>
        <w:tc>
          <w:tcPr>
            <w:tcW w:w="2240" w:type="dxa"/>
            <w:noWrap w:val="0"/>
            <w:vAlign w:val="center"/>
          </w:tcPr>
          <w:p>
            <w:pPr>
              <w:adjustRightInd w:val="0"/>
              <w:snapToGrid w:val="0"/>
              <w:jc w:val="center"/>
              <w:textAlignment w:val="center"/>
              <w:rPr>
                <w:rFonts w:hint="eastAsia"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区供销合作社</w:t>
            </w:r>
          </w:p>
        </w:tc>
        <w:tc>
          <w:tcPr>
            <w:tcW w:w="1584" w:type="dxa"/>
            <w:noWrap w:val="0"/>
            <w:vAlign w:val="center"/>
          </w:tcPr>
          <w:p>
            <w:pPr>
              <w:adjustRightInd w:val="0"/>
              <w:snapToGrid w:val="0"/>
              <w:jc w:val="center"/>
              <w:rPr>
                <w:rFonts w:hint="eastAsia"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731" w:type="dxa"/>
            <w:noWrap w:val="0"/>
            <w:vAlign w:val="center"/>
          </w:tcPr>
          <w:p>
            <w:pPr>
              <w:adjustRightInd w:val="0"/>
              <w:snapToGrid w:val="0"/>
              <w:jc w:val="center"/>
              <w:textAlignment w:val="center"/>
              <w:rPr>
                <w:rFonts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30</w:t>
            </w:r>
          </w:p>
        </w:tc>
        <w:tc>
          <w:tcPr>
            <w:tcW w:w="1085" w:type="dxa"/>
            <w:vMerge w:val="continue"/>
            <w:noWrap w:val="0"/>
            <w:vAlign w:val="center"/>
          </w:tcPr>
          <w:p>
            <w:pPr>
              <w:adjustRightInd w:val="0"/>
              <w:snapToGrid w:val="0"/>
              <w:jc w:val="center"/>
              <w:rPr>
                <w:rFonts w:hint="eastAsia" w:ascii="方正仿宋_GBK" w:hAnsi="方正仿宋_GBK" w:eastAsia="方正仿宋_GBK" w:cs="方正仿宋_GBK"/>
                <w:kern w:val="0"/>
                <w:sz w:val="24"/>
                <w:lang w:bidi="ar"/>
              </w:rPr>
            </w:pPr>
          </w:p>
        </w:tc>
        <w:tc>
          <w:tcPr>
            <w:tcW w:w="7147" w:type="dxa"/>
            <w:noWrap w:val="0"/>
            <w:vAlign w:val="center"/>
          </w:tcPr>
          <w:p>
            <w:pPr>
              <w:adjustRightInd w:val="0"/>
              <w:snapToGrid w:val="0"/>
              <w:jc w:val="left"/>
              <w:textAlignment w:val="center"/>
              <w:rPr>
                <w:rFonts w:hint="eastAsia"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到2020年，农田灌溉水有效利用系数达到0.5以上</w:t>
            </w:r>
          </w:p>
        </w:tc>
        <w:tc>
          <w:tcPr>
            <w:tcW w:w="2240" w:type="dxa"/>
            <w:noWrap w:val="0"/>
            <w:vAlign w:val="center"/>
          </w:tcPr>
          <w:p>
            <w:pPr>
              <w:adjustRightInd w:val="0"/>
              <w:snapToGrid w:val="0"/>
              <w:jc w:val="center"/>
              <w:textAlignment w:val="center"/>
              <w:rPr>
                <w:rFonts w:hint="eastAsia"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区水利局、区农业农村委</w:t>
            </w:r>
          </w:p>
        </w:tc>
        <w:tc>
          <w:tcPr>
            <w:tcW w:w="1584" w:type="dxa"/>
            <w:noWrap w:val="0"/>
            <w:vAlign w:val="center"/>
          </w:tcPr>
          <w:p>
            <w:pPr>
              <w:adjustRightInd w:val="0"/>
              <w:snapToGrid w:val="0"/>
              <w:jc w:val="center"/>
              <w:rPr>
                <w:rFonts w:hint="eastAsia"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731" w:type="dxa"/>
            <w:noWrap w:val="0"/>
            <w:vAlign w:val="center"/>
          </w:tcPr>
          <w:p>
            <w:pPr>
              <w:adjustRightInd w:val="0"/>
              <w:snapToGrid w:val="0"/>
              <w:jc w:val="center"/>
              <w:textAlignment w:val="center"/>
              <w:rPr>
                <w:rFonts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31</w:t>
            </w:r>
          </w:p>
        </w:tc>
        <w:tc>
          <w:tcPr>
            <w:tcW w:w="1085" w:type="dxa"/>
            <w:vMerge w:val="continue"/>
            <w:noWrap w:val="0"/>
            <w:vAlign w:val="center"/>
          </w:tcPr>
          <w:p>
            <w:pPr>
              <w:adjustRightInd w:val="0"/>
              <w:snapToGrid w:val="0"/>
              <w:jc w:val="center"/>
              <w:rPr>
                <w:rFonts w:hint="eastAsia" w:ascii="方正仿宋_GBK" w:hAnsi="方正仿宋_GBK" w:eastAsia="方正仿宋_GBK" w:cs="方正仿宋_GBK"/>
                <w:kern w:val="0"/>
                <w:sz w:val="24"/>
                <w:lang w:bidi="ar"/>
              </w:rPr>
            </w:pPr>
          </w:p>
        </w:tc>
        <w:tc>
          <w:tcPr>
            <w:tcW w:w="7147" w:type="dxa"/>
            <w:noWrap w:val="0"/>
            <w:vAlign w:val="center"/>
          </w:tcPr>
          <w:p>
            <w:pPr>
              <w:adjustRightInd w:val="0"/>
              <w:snapToGrid w:val="0"/>
              <w:jc w:val="left"/>
              <w:textAlignment w:val="center"/>
              <w:rPr>
                <w:rFonts w:hint="eastAsia"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2020年底前建立耕地土壤环境质量分类清单</w:t>
            </w:r>
          </w:p>
        </w:tc>
        <w:tc>
          <w:tcPr>
            <w:tcW w:w="2240" w:type="dxa"/>
            <w:noWrap w:val="0"/>
            <w:vAlign w:val="center"/>
          </w:tcPr>
          <w:p>
            <w:pPr>
              <w:adjustRightInd w:val="0"/>
              <w:snapToGrid w:val="0"/>
              <w:jc w:val="center"/>
              <w:textAlignment w:val="center"/>
              <w:rPr>
                <w:rFonts w:hint="eastAsia"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区农业农村委</w:t>
            </w:r>
          </w:p>
        </w:tc>
        <w:tc>
          <w:tcPr>
            <w:tcW w:w="1584" w:type="dxa"/>
            <w:noWrap w:val="0"/>
            <w:vAlign w:val="center"/>
          </w:tcPr>
          <w:p>
            <w:pPr>
              <w:adjustRightInd w:val="0"/>
              <w:snapToGrid w:val="0"/>
              <w:jc w:val="center"/>
              <w:rPr>
                <w:rFonts w:hint="eastAsia" w:ascii="方正仿宋_GBK" w:hAnsi="方正仿宋_GBK" w:eastAsia="方正仿宋_GBK" w:cs="方正仿宋_GBK"/>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731" w:type="dxa"/>
            <w:noWrap w:val="0"/>
            <w:vAlign w:val="center"/>
          </w:tcPr>
          <w:p>
            <w:pPr>
              <w:adjustRightInd w:val="0"/>
              <w:snapToGrid w:val="0"/>
              <w:jc w:val="center"/>
              <w:textAlignment w:val="center"/>
              <w:rPr>
                <w:rFonts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32</w:t>
            </w:r>
          </w:p>
        </w:tc>
        <w:tc>
          <w:tcPr>
            <w:tcW w:w="1085" w:type="dxa"/>
            <w:vMerge w:val="continue"/>
            <w:noWrap w:val="0"/>
            <w:vAlign w:val="center"/>
          </w:tcPr>
          <w:p>
            <w:pPr>
              <w:adjustRightInd w:val="0"/>
              <w:snapToGrid w:val="0"/>
              <w:jc w:val="center"/>
              <w:rPr>
                <w:rFonts w:hint="eastAsia" w:ascii="方正仿宋_GBK" w:hAnsi="方正仿宋_GBK" w:eastAsia="方正仿宋_GBK" w:cs="方正仿宋_GBK"/>
                <w:kern w:val="0"/>
                <w:sz w:val="24"/>
                <w:lang w:bidi="ar"/>
              </w:rPr>
            </w:pPr>
          </w:p>
        </w:tc>
        <w:tc>
          <w:tcPr>
            <w:tcW w:w="7147" w:type="dxa"/>
            <w:noWrap w:val="0"/>
            <w:vAlign w:val="center"/>
          </w:tcPr>
          <w:p>
            <w:pPr>
              <w:adjustRightInd w:val="0"/>
              <w:snapToGrid w:val="0"/>
              <w:jc w:val="left"/>
              <w:textAlignment w:val="center"/>
              <w:rPr>
                <w:rFonts w:hint="eastAsia"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制定受污染耕地安全利用方案</w:t>
            </w:r>
          </w:p>
        </w:tc>
        <w:tc>
          <w:tcPr>
            <w:tcW w:w="2240" w:type="dxa"/>
            <w:noWrap w:val="0"/>
            <w:vAlign w:val="center"/>
          </w:tcPr>
          <w:p>
            <w:pPr>
              <w:adjustRightInd w:val="0"/>
              <w:snapToGrid w:val="0"/>
              <w:jc w:val="center"/>
              <w:textAlignment w:val="center"/>
              <w:rPr>
                <w:rFonts w:hint="eastAsia"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区农业农村委</w:t>
            </w:r>
          </w:p>
        </w:tc>
        <w:tc>
          <w:tcPr>
            <w:tcW w:w="1584" w:type="dxa"/>
            <w:noWrap w:val="0"/>
            <w:vAlign w:val="center"/>
          </w:tcPr>
          <w:p>
            <w:pPr>
              <w:adjustRightInd w:val="0"/>
              <w:snapToGrid w:val="0"/>
              <w:jc w:val="center"/>
              <w:rPr>
                <w:rFonts w:hint="eastAsia" w:ascii="方正仿宋_GBK" w:hAnsi="方正仿宋_GBK" w:eastAsia="方正仿宋_GBK" w:cs="方正仿宋_GBK"/>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731" w:type="dxa"/>
            <w:noWrap w:val="0"/>
            <w:vAlign w:val="center"/>
          </w:tcPr>
          <w:p>
            <w:pPr>
              <w:adjustRightInd w:val="0"/>
              <w:snapToGrid w:val="0"/>
              <w:jc w:val="center"/>
              <w:textAlignment w:val="center"/>
              <w:rPr>
                <w:rFonts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33</w:t>
            </w:r>
          </w:p>
        </w:tc>
        <w:tc>
          <w:tcPr>
            <w:tcW w:w="1085" w:type="dxa"/>
            <w:vMerge w:val="restart"/>
            <w:noWrap w:val="0"/>
            <w:vAlign w:val="center"/>
          </w:tcPr>
          <w:p>
            <w:pPr>
              <w:adjustRightInd w:val="0"/>
              <w:snapToGrid w:val="0"/>
              <w:jc w:val="center"/>
              <w:textAlignment w:val="center"/>
              <w:rPr>
                <w:rFonts w:hint="eastAsia"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（六）</w:t>
            </w:r>
          </w:p>
          <w:p>
            <w:pPr>
              <w:adjustRightInd w:val="0"/>
              <w:snapToGrid w:val="0"/>
              <w:jc w:val="center"/>
              <w:rPr>
                <w:rFonts w:hint="eastAsia"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提升农业农村环境监管能力</w:t>
            </w:r>
          </w:p>
        </w:tc>
        <w:tc>
          <w:tcPr>
            <w:tcW w:w="7147" w:type="dxa"/>
            <w:noWrap w:val="0"/>
            <w:vAlign w:val="center"/>
          </w:tcPr>
          <w:p>
            <w:pPr>
              <w:adjustRightInd w:val="0"/>
              <w:snapToGrid w:val="0"/>
              <w:jc w:val="left"/>
              <w:textAlignment w:val="center"/>
              <w:rPr>
                <w:rFonts w:hint="eastAsia"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建立农业产业准入负面清单制度</w:t>
            </w:r>
          </w:p>
        </w:tc>
        <w:tc>
          <w:tcPr>
            <w:tcW w:w="2240" w:type="dxa"/>
            <w:noWrap w:val="0"/>
            <w:vAlign w:val="center"/>
          </w:tcPr>
          <w:p>
            <w:pPr>
              <w:adjustRightInd w:val="0"/>
              <w:snapToGrid w:val="0"/>
              <w:jc w:val="center"/>
              <w:textAlignment w:val="center"/>
              <w:rPr>
                <w:rFonts w:hint="eastAsia"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区农业农村委</w:t>
            </w:r>
          </w:p>
        </w:tc>
        <w:tc>
          <w:tcPr>
            <w:tcW w:w="1584" w:type="dxa"/>
            <w:noWrap w:val="0"/>
            <w:vAlign w:val="center"/>
          </w:tcPr>
          <w:p>
            <w:pPr>
              <w:adjustRightInd w:val="0"/>
              <w:snapToGrid w:val="0"/>
              <w:jc w:val="center"/>
              <w:rPr>
                <w:rFonts w:hint="eastAsia" w:ascii="方正仿宋_GBK" w:hAnsi="方正仿宋_GBK" w:eastAsia="方正仿宋_GBK" w:cs="方正仿宋_GBK"/>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731" w:type="dxa"/>
            <w:noWrap w:val="0"/>
            <w:vAlign w:val="center"/>
          </w:tcPr>
          <w:p>
            <w:pPr>
              <w:adjustRightInd w:val="0"/>
              <w:snapToGrid w:val="0"/>
              <w:jc w:val="center"/>
              <w:textAlignment w:val="center"/>
              <w:rPr>
                <w:rFonts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34</w:t>
            </w:r>
          </w:p>
        </w:tc>
        <w:tc>
          <w:tcPr>
            <w:tcW w:w="1085" w:type="dxa"/>
            <w:vMerge w:val="continue"/>
            <w:noWrap w:val="0"/>
            <w:vAlign w:val="center"/>
          </w:tcPr>
          <w:p>
            <w:pPr>
              <w:adjustRightInd w:val="0"/>
              <w:snapToGrid w:val="0"/>
              <w:jc w:val="center"/>
              <w:rPr>
                <w:rFonts w:hint="eastAsia" w:ascii="方正仿宋_GBK" w:hAnsi="方正仿宋_GBK" w:eastAsia="方正仿宋_GBK" w:cs="方正仿宋_GBK"/>
                <w:kern w:val="0"/>
                <w:sz w:val="24"/>
                <w:lang w:bidi="ar"/>
              </w:rPr>
            </w:pPr>
          </w:p>
        </w:tc>
        <w:tc>
          <w:tcPr>
            <w:tcW w:w="7147" w:type="dxa"/>
            <w:noWrap w:val="0"/>
            <w:vAlign w:val="center"/>
          </w:tcPr>
          <w:p>
            <w:pPr>
              <w:adjustRightInd w:val="0"/>
              <w:snapToGrid w:val="0"/>
              <w:spacing w:line="420" w:lineRule="exact"/>
              <w:jc w:val="left"/>
              <w:textAlignment w:val="center"/>
              <w:rPr>
                <w:rFonts w:hint="eastAsia"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运用好农业农村生态环境管理信息平台。</w:t>
            </w:r>
          </w:p>
        </w:tc>
        <w:tc>
          <w:tcPr>
            <w:tcW w:w="2240" w:type="dxa"/>
            <w:noWrap w:val="0"/>
            <w:vAlign w:val="center"/>
          </w:tcPr>
          <w:p>
            <w:pPr>
              <w:adjustRightInd w:val="0"/>
              <w:snapToGrid w:val="0"/>
              <w:spacing w:line="420" w:lineRule="exact"/>
              <w:jc w:val="center"/>
              <w:textAlignment w:val="center"/>
              <w:rPr>
                <w:rFonts w:hint="eastAsia"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区生态环境局、区农业农村委</w:t>
            </w:r>
          </w:p>
        </w:tc>
        <w:tc>
          <w:tcPr>
            <w:tcW w:w="1584" w:type="dxa"/>
            <w:noWrap w:val="0"/>
            <w:vAlign w:val="center"/>
          </w:tcPr>
          <w:p>
            <w:pPr>
              <w:adjustRightInd w:val="0"/>
              <w:snapToGrid w:val="0"/>
              <w:spacing w:line="420" w:lineRule="exact"/>
              <w:jc w:val="center"/>
              <w:rPr>
                <w:rFonts w:hint="eastAsia"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各乡镇街道</w:t>
            </w:r>
          </w:p>
        </w:tc>
      </w:tr>
    </w:tbl>
    <w:p>
      <w:pPr>
        <w:adjustRightInd w:val="0"/>
        <w:snapToGrid w:val="0"/>
        <w:spacing w:line="640" w:lineRule="exact"/>
        <w:ind w:firstLine="640" w:firstLineChars="200"/>
        <w:rPr>
          <w:rFonts w:eastAsia="方正仿宋_GBK"/>
          <w:sz w:val="32"/>
          <w:szCs w:val="32"/>
        </w:rPr>
      </w:pPr>
    </w:p>
    <w:p>
      <w:pPr>
        <w:adjustRightInd w:val="0"/>
        <w:snapToGrid w:val="0"/>
        <w:spacing w:line="640" w:lineRule="exact"/>
        <w:ind w:firstLine="640" w:firstLineChars="200"/>
        <w:rPr>
          <w:rFonts w:eastAsia="方正仿宋_GBK"/>
          <w:sz w:val="32"/>
          <w:szCs w:val="32"/>
        </w:rPr>
      </w:pPr>
      <w:r>
        <w:rPr>
          <w:rFonts w:eastAsia="方正仿宋_GBK"/>
          <w:sz w:val="32"/>
          <w:szCs w:val="32"/>
        </w:rPr>
        <w:t>附</w:t>
      </w:r>
      <w:r>
        <w:rPr>
          <w:rFonts w:hint="eastAsia" w:eastAsia="方正仿宋_GBK"/>
          <w:sz w:val="32"/>
          <w:szCs w:val="32"/>
        </w:rPr>
        <w:t>件</w:t>
      </w:r>
      <w:r>
        <w:rPr>
          <w:rFonts w:eastAsia="方正仿宋_GBK"/>
          <w:sz w:val="32"/>
          <w:szCs w:val="32"/>
        </w:rPr>
        <w:t>2</w:t>
      </w:r>
    </w:p>
    <w:p>
      <w:pPr>
        <w:adjustRightInd w:val="0"/>
        <w:snapToGrid w:val="0"/>
        <w:spacing w:line="640" w:lineRule="exact"/>
        <w:ind w:firstLine="720" w:firstLineChars="200"/>
        <w:jc w:val="center"/>
        <w:rPr>
          <w:rFonts w:eastAsia="方正小标宋_GBK"/>
          <w:sz w:val="36"/>
          <w:szCs w:val="36"/>
        </w:rPr>
      </w:pPr>
      <w:r>
        <w:rPr>
          <w:rFonts w:eastAsia="方正小标宋_GBK"/>
          <w:sz w:val="36"/>
          <w:szCs w:val="36"/>
        </w:rPr>
        <w:t>黔江区2019年农业农村污染治理示范乡镇安排表</w:t>
      </w:r>
    </w:p>
    <w:p/>
    <w:tbl>
      <w:tblPr>
        <w:tblStyle w:val="5"/>
        <w:tblpPr w:leftFromText="180" w:rightFromText="180" w:vertAnchor="text" w:horzAnchor="page" w:tblpX="2161" w:tblpY="42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5581"/>
        <w:gridCol w:w="5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800" w:type="dxa"/>
            <w:noWrap w:val="0"/>
            <w:vAlign w:val="top"/>
          </w:tcPr>
          <w:p>
            <w:pPr>
              <w:adjustRightInd w:val="0"/>
              <w:snapToGrid w:val="0"/>
              <w:jc w:val="center"/>
              <w:textAlignment w:val="center"/>
              <w:rPr>
                <w:rFonts w:eastAsia="方正黑体_GBK"/>
                <w:kern w:val="0"/>
                <w:sz w:val="24"/>
                <w:lang w:bidi="ar"/>
              </w:rPr>
            </w:pPr>
            <w:r>
              <w:rPr>
                <w:rFonts w:eastAsia="方正黑体_GBK"/>
                <w:kern w:val="0"/>
                <w:sz w:val="24"/>
                <w:lang w:bidi="ar"/>
              </w:rPr>
              <w:t>序号</w:t>
            </w:r>
          </w:p>
        </w:tc>
        <w:tc>
          <w:tcPr>
            <w:tcW w:w="5581" w:type="dxa"/>
            <w:noWrap w:val="0"/>
            <w:vAlign w:val="top"/>
          </w:tcPr>
          <w:p>
            <w:pPr>
              <w:adjustRightInd w:val="0"/>
              <w:snapToGrid w:val="0"/>
              <w:jc w:val="center"/>
              <w:textAlignment w:val="center"/>
              <w:rPr>
                <w:rFonts w:eastAsia="方正黑体_GBK"/>
                <w:kern w:val="0"/>
                <w:sz w:val="24"/>
                <w:lang w:bidi="ar"/>
              </w:rPr>
            </w:pPr>
            <w:r>
              <w:rPr>
                <w:rFonts w:eastAsia="方正黑体_GBK"/>
                <w:kern w:val="0"/>
                <w:sz w:val="24"/>
                <w:lang w:bidi="ar"/>
              </w:rPr>
              <w:t>示范乡镇</w:t>
            </w:r>
          </w:p>
        </w:tc>
        <w:tc>
          <w:tcPr>
            <w:tcW w:w="5384" w:type="dxa"/>
            <w:noWrap w:val="0"/>
            <w:vAlign w:val="top"/>
          </w:tcPr>
          <w:p>
            <w:pPr>
              <w:adjustRightInd w:val="0"/>
              <w:snapToGrid w:val="0"/>
              <w:jc w:val="center"/>
              <w:textAlignment w:val="center"/>
              <w:rPr>
                <w:rFonts w:eastAsia="方正黑体_GBK"/>
                <w:kern w:val="0"/>
                <w:sz w:val="24"/>
                <w:lang w:bidi="ar"/>
              </w:rPr>
            </w:pPr>
            <w:r>
              <w:rPr>
                <w:rFonts w:eastAsia="方正黑体_GBK"/>
                <w:kern w:val="0"/>
                <w:sz w:val="24"/>
                <w:lang w:bidi="ar"/>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800" w:type="dxa"/>
            <w:noWrap w:val="0"/>
            <w:vAlign w:val="top"/>
          </w:tcPr>
          <w:p>
            <w:pPr>
              <w:adjustRightInd w:val="0"/>
              <w:snapToGrid w:val="0"/>
              <w:jc w:val="center"/>
              <w:textAlignment w:val="center"/>
              <w:rPr>
                <w:rFonts w:eastAsia="方正仿宋_GBK"/>
                <w:kern w:val="0"/>
                <w:sz w:val="24"/>
                <w:lang w:bidi="ar"/>
              </w:rPr>
            </w:pPr>
            <w:r>
              <w:rPr>
                <w:rFonts w:eastAsia="方正仿宋_GBK"/>
                <w:kern w:val="0"/>
                <w:sz w:val="24"/>
                <w:lang w:bidi="ar"/>
              </w:rPr>
              <w:t>1</w:t>
            </w:r>
          </w:p>
        </w:tc>
        <w:tc>
          <w:tcPr>
            <w:tcW w:w="5581" w:type="dxa"/>
            <w:noWrap w:val="0"/>
            <w:vAlign w:val="top"/>
          </w:tcPr>
          <w:p>
            <w:pPr>
              <w:adjustRightInd w:val="0"/>
              <w:snapToGrid w:val="0"/>
              <w:jc w:val="center"/>
              <w:textAlignment w:val="center"/>
              <w:rPr>
                <w:rFonts w:eastAsia="方正仿宋_GBK"/>
                <w:kern w:val="0"/>
                <w:sz w:val="24"/>
                <w:lang w:bidi="ar"/>
              </w:rPr>
            </w:pPr>
            <w:r>
              <w:rPr>
                <w:rFonts w:eastAsia="方正仿宋_GBK"/>
                <w:kern w:val="0"/>
                <w:sz w:val="24"/>
                <w:lang w:bidi="ar"/>
              </w:rPr>
              <w:t>金溪镇</w:t>
            </w:r>
          </w:p>
        </w:tc>
        <w:tc>
          <w:tcPr>
            <w:tcW w:w="5384" w:type="dxa"/>
            <w:noWrap w:val="0"/>
            <w:vAlign w:val="top"/>
          </w:tcPr>
          <w:p>
            <w:pPr>
              <w:adjustRightInd w:val="0"/>
              <w:snapToGrid w:val="0"/>
              <w:jc w:val="center"/>
              <w:textAlignment w:val="center"/>
              <w:rPr>
                <w:rFonts w:eastAsia="方正仿宋_GBK"/>
                <w:kern w:val="0"/>
                <w:sz w:val="24"/>
                <w:lang w:bidi="ar"/>
              </w:rPr>
            </w:pPr>
            <w:r>
              <w:rPr>
                <w:rFonts w:eastAsia="方正仿宋_GBK"/>
                <w:kern w:val="0"/>
                <w:sz w:val="24"/>
                <w:lang w:bidi="ar"/>
              </w:rPr>
              <w:t>2019年区级示范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800" w:type="dxa"/>
            <w:noWrap w:val="0"/>
            <w:vAlign w:val="top"/>
          </w:tcPr>
          <w:p>
            <w:pPr>
              <w:adjustRightInd w:val="0"/>
              <w:snapToGrid w:val="0"/>
              <w:jc w:val="center"/>
              <w:textAlignment w:val="center"/>
              <w:rPr>
                <w:rFonts w:eastAsia="方正仿宋_GBK"/>
                <w:kern w:val="0"/>
                <w:sz w:val="24"/>
                <w:lang w:bidi="ar"/>
              </w:rPr>
            </w:pPr>
            <w:r>
              <w:rPr>
                <w:rFonts w:eastAsia="方正仿宋_GBK"/>
                <w:kern w:val="0"/>
                <w:sz w:val="24"/>
                <w:lang w:bidi="ar"/>
              </w:rPr>
              <w:t>2</w:t>
            </w:r>
          </w:p>
        </w:tc>
        <w:tc>
          <w:tcPr>
            <w:tcW w:w="5581" w:type="dxa"/>
            <w:noWrap w:val="0"/>
            <w:vAlign w:val="top"/>
          </w:tcPr>
          <w:p>
            <w:pPr>
              <w:adjustRightInd w:val="0"/>
              <w:snapToGrid w:val="0"/>
              <w:jc w:val="center"/>
              <w:textAlignment w:val="center"/>
              <w:rPr>
                <w:rFonts w:eastAsia="方正仿宋_GBK"/>
                <w:kern w:val="0"/>
                <w:sz w:val="24"/>
                <w:lang w:bidi="ar"/>
              </w:rPr>
            </w:pPr>
            <w:r>
              <w:rPr>
                <w:rFonts w:eastAsia="方正仿宋_GBK"/>
                <w:kern w:val="0"/>
                <w:sz w:val="24"/>
                <w:lang w:bidi="ar"/>
              </w:rPr>
              <w:t>中塘乡</w:t>
            </w:r>
          </w:p>
        </w:tc>
        <w:tc>
          <w:tcPr>
            <w:tcW w:w="5384" w:type="dxa"/>
            <w:noWrap w:val="0"/>
            <w:vAlign w:val="top"/>
          </w:tcPr>
          <w:p>
            <w:pPr>
              <w:adjustRightInd w:val="0"/>
              <w:snapToGrid w:val="0"/>
              <w:jc w:val="center"/>
              <w:textAlignment w:val="center"/>
              <w:rPr>
                <w:rFonts w:eastAsia="方正仿宋_GBK"/>
                <w:kern w:val="0"/>
                <w:sz w:val="24"/>
                <w:lang w:bidi="ar"/>
              </w:rPr>
            </w:pPr>
            <w:r>
              <w:rPr>
                <w:rFonts w:eastAsia="方正仿宋_GBK"/>
                <w:kern w:val="0"/>
                <w:sz w:val="24"/>
                <w:lang w:bidi="ar"/>
              </w:rPr>
              <w:t>2019年区级示范</w:t>
            </w:r>
          </w:p>
        </w:tc>
      </w:tr>
    </w:tbl>
    <w:p/>
    <w:p>
      <w:pPr>
        <w:spacing w:line="640" w:lineRule="exact"/>
        <w:rPr>
          <w:rFonts w:eastAsia="方正仿宋_GBK"/>
          <w:sz w:val="32"/>
          <w:szCs w:val="32"/>
        </w:rPr>
        <w:sectPr>
          <w:pgSz w:w="16838" w:h="11906" w:orient="landscape"/>
          <w:pgMar w:top="720" w:right="720" w:bottom="720" w:left="720" w:header="851" w:footer="992" w:gutter="0"/>
          <w:cols w:space="720" w:num="1"/>
          <w:docGrid w:type="lines" w:linePitch="312" w:charSpace="0"/>
        </w:sectPr>
      </w:pPr>
    </w:p>
    <w:p>
      <w:pPr>
        <w:pStyle w:val="2"/>
      </w:pPr>
    </w:p>
    <w:p/>
    <w:p/>
    <w:p/>
    <w:p/>
    <w:p/>
    <w:p/>
    <w:p/>
    <w:p/>
    <w:p/>
    <w:p/>
    <w:p/>
    <w:p/>
    <w:p/>
    <w:p/>
    <w:p/>
    <w:p/>
    <w:p/>
    <w:p/>
    <w:p/>
    <w:p/>
    <w:p/>
    <w:p/>
    <w:p/>
    <w:p/>
    <w:p/>
    <w:p/>
    <w:p/>
    <w:p/>
    <w:p/>
    <w:p/>
    <w:p/>
    <w:p/>
    <w:p/>
    <w:p/>
    <w:p>
      <w:pPr>
        <w:keepNext w:val="0"/>
        <w:keepLines w:val="0"/>
        <w:pageBreakBefore w:val="0"/>
        <w:widowControl w:val="0"/>
        <w:kinsoku/>
        <w:wordWrap/>
        <w:overflowPunct/>
        <w:topLinePunct w:val="0"/>
        <w:autoSpaceDE/>
        <w:autoSpaceDN/>
        <w:bidi w:val="0"/>
        <w:adjustRightInd/>
        <w:snapToGrid/>
        <w:spacing w:line="100" w:lineRule="exact"/>
        <w:textAlignment w:val="auto"/>
      </w:pPr>
    </w:p>
    <w:p>
      <w:pPr>
        <w:pStyle w:val="2"/>
      </w:pPr>
    </w:p>
    <w:p>
      <w:pPr>
        <w:pStyle w:val="2"/>
        <w:ind w:left="0" w:leftChars="0" w:firstLine="0" w:firstLineChars="0"/>
      </w:pPr>
    </w:p>
    <w:p>
      <w:pPr>
        <w:pStyle w:val="2"/>
        <w:ind w:left="0" w:leftChars="0" w:firstLine="0" w:firstLineChars="0"/>
      </w:pPr>
    </w:p>
    <w:p>
      <w:pPr>
        <w:pStyle w:val="2"/>
      </w:pPr>
    </w:p>
    <w:p>
      <w:pPr>
        <w:spacing w:line="400" w:lineRule="exact"/>
        <w:ind w:firstLine="280" w:firstLineChars="100"/>
        <w:rPr>
          <w:rFonts w:hint="eastAsia"/>
        </w:rPr>
      </w:pPr>
      <w:r>
        <w:rPr>
          <w:rFonts w:eastAsia="方正仿宋_GBK"/>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8255</wp:posOffset>
                </wp:positionV>
                <wp:extent cx="5652135" cy="0"/>
                <wp:effectExtent l="0" t="0" r="0" b="0"/>
                <wp:wrapNone/>
                <wp:docPr id="2" name="Line 11"/>
                <wp:cNvGraphicFramePr/>
                <a:graphic xmlns:a="http://schemas.openxmlformats.org/drawingml/2006/main">
                  <a:graphicData uri="http://schemas.microsoft.com/office/word/2010/wordprocessingShape">
                    <wps:wsp>
                      <wps:cNvCnPr/>
                      <wps:spPr>
                        <a:xfrm>
                          <a:off x="0" y="0"/>
                          <a:ext cx="5652135"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Line 11" o:spid="_x0000_s1026" o:spt="20" style="position:absolute;left:0pt;margin-left:0pt;margin-top:0.65pt;height:0pt;width:445.05pt;z-index:251660288;mso-width-relative:page;mso-height-relative:page;" filled="f" stroked="t" coordsize="21600,21600" o:gfxdata="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E1fOFPTAAAABAEAAA8AAAAAAAAAAQAg&#10;AAAAOAAAAGRycy9kb3ducmV2LnhtbFBLAQIUABQAAAAIAIdO4kApNPnxxAEAAJADAAAOAAAAAAAA&#10;AAEAIAAAADgBAABkcnMvZTJvRG9jLnhtbFBLBQYAAAAABgAGAFkBAABuBQAAAAA=&#10;">
                <v:fill on="f" focussize="0,0"/>
                <v:stroke weight="1pt" color="#000000" joinstyle="round"/>
                <v:imagedata o:title=""/>
                <o:lock v:ext="edit" aspectratio="f"/>
              </v:line>
            </w:pict>
          </mc:Fallback>
        </mc:AlternateContent>
      </w:r>
      <w:r>
        <w:rPr>
          <w:rFonts w:eastAsia="方正仿宋_GBK"/>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253365</wp:posOffset>
                </wp:positionV>
                <wp:extent cx="5652135" cy="0"/>
                <wp:effectExtent l="0" t="0" r="0" b="0"/>
                <wp:wrapNone/>
                <wp:docPr id="1" name="Line 10"/>
                <wp:cNvGraphicFramePr/>
                <a:graphic xmlns:a="http://schemas.openxmlformats.org/drawingml/2006/main">
                  <a:graphicData uri="http://schemas.microsoft.com/office/word/2010/wordprocessingShape">
                    <wps:wsp>
                      <wps:cNvCnPr/>
                      <wps:spPr>
                        <a:xfrm>
                          <a:off x="0" y="0"/>
                          <a:ext cx="5652135"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Line 10" o:spid="_x0000_s1026" o:spt="20" style="position:absolute;left:0pt;margin-left:0pt;margin-top:19.95pt;height:0pt;width:445.05pt;z-index:251659264;mso-width-relative:page;mso-height-relative:page;" filled="f" stroked="t" coordsize="21600,21600" o:gfxdata="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hQbI/VAAAABgEAAA8AAAAAAAAAAQAg&#10;AAAAOAAAAGRycy9kb3ducmV2LnhtbFBLAQIUABQAAAAIAIdO4kDWggx0wgEAAJADAAAOAAAAAAAA&#10;AAEAIAAAADoBAABkcnMvZTJvRG9jLnhtbFBLBQYAAAAABgAGAFkBAABuBQAAAAA=&#10;">
                <v:fill on="f" focussize="0,0"/>
                <v:stroke weight="1pt" color="#000000" joinstyle="round"/>
                <v:imagedata o:title=""/>
                <o:lock v:ext="edit" aspectratio="f"/>
              </v:line>
            </w:pict>
          </mc:Fallback>
        </mc:AlternateContent>
      </w:r>
      <w:r>
        <w:rPr>
          <w:rFonts w:eastAsia="方正仿宋_GBK"/>
          <w:sz w:val="28"/>
          <w:szCs w:val="28"/>
        </w:rPr>
        <w:t xml:space="preserve">重庆市黔江区人民政府办公室          </w:t>
      </w:r>
      <w:r>
        <w:rPr>
          <w:sz w:val="28"/>
          <w:szCs w:val="28"/>
        </w:rPr>
        <w:t xml:space="preserve">     </w:t>
      </w:r>
      <w:r>
        <w:rPr>
          <w:rFonts w:eastAsia="方正仿宋_GBK"/>
          <w:sz w:val="28"/>
          <w:szCs w:val="28"/>
        </w:rPr>
        <w:t>201</w:t>
      </w:r>
      <w:r>
        <w:rPr>
          <w:sz w:val="28"/>
          <w:szCs w:val="28"/>
        </w:rPr>
        <w:t>9</w:t>
      </w:r>
      <w:r>
        <w:rPr>
          <w:rFonts w:eastAsia="方正仿宋_GBK"/>
          <w:sz w:val="28"/>
          <w:szCs w:val="28"/>
        </w:rPr>
        <w:t>年</w:t>
      </w:r>
      <w:r>
        <w:rPr>
          <w:rFonts w:hint="eastAsia"/>
          <w:sz w:val="28"/>
          <w:szCs w:val="28"/>
        </w:rPr>
        <w:t>6</w:t>
      </w:r>
      <w:r>
        <w:rPr>
          <w:rFonts w:eastAsia="方正仿宋_GBK"/>
          <w:sz w:val="28"/>
          <w:szCs w:val="28"/>
        </w:rPr>
        <w:t>月</w:t>
      </w:r>
      <w:r>
        <w:rPr>
          <w:rFonts w:hint="eastAsia"/>
          <w:sz w:val="28"/>
          <w:szCs w:val="28"/>
        </w:rPr>
        <w:t>25</w:t>
      </w:r>
      <w:r>
        <w:rPr>
          <w:rFonts w:eastAsia="方正仿宋_GBK"/>
          <w:sz w:val="28"/>
          <w:szCs w:val="28"/>
        </w:rPr>
        <w:t>日印发</w:t>
      </w: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080135" cy="230505"/>
              <wp:effectExtent l="0" t="0" r="0" b="0"/>
              <wp:wrapNone/>
              <wp:docPr id="3" name="文本框 1"/>
              <wp:cNvGraphicFramePr/>
              <a:graphic xmlns:a="http://schemas.openxmlformats.org/drawingml/2006/main">
                <a:graphicData uri="http://schemas.microsoft.com/office/word/2010/wordprocessingShape">
                  <wps:wsp>
                    <wps:cNvSpPr txBox="true"/>
                    <wps:spPr>
                      <a:xfrm>
                        <a:off x="0" y="0"/>
                        <a:ext cx="1080135" cy="230505"/>
                      </a:xfrm>
                      <a:prstGeom prst="rect">
                        <a:avLst/>
                      </a:prstGeom>
                      <a:noFill/>
                      <a:ln>
                        <a:noFill/>
                      </a:ln>
                    </wps:spPr>
                    <wps:txbx>
                      <w:txbxContent>
                        <w:p>
                          <w:pPr>
                            <w:pStyle w:val="3"/>
                            <w:ind w:right="360" w:firstLine="360"/>
                            <w:jc w:val="right"/>
                          </w:pPr>
                          <w:r>
                            <w:rPr>
                              <w:rStyle w:val="8"/>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2</w:t>
                          </w:r>
                          <w:r>
                            <w:rPr>
                              <w:kern w:val="0"/>
                              <w:sz w:val="28"/>
                            </w:rPr>
                            <w:fldChar w:fldCharType="end"/>
                          </w:r>
                          <w:r>
                            <w:rPr>
                              <w:kern w:val="0"/>
                              <w:sz w:val="28"/>
                            </w:rPr>
                            <w:t xml:space="preserve"> </w:t>
                          </w:r>
                          <w:r>
                            <w:rPr>
                              <w:rStyle w:val="8"/>
                              <w:rFonts w:hint="eastAsia"/>
                              <w:sz w:val="28"/>
                            </w:rPr>
                            <w:t>―</w:t>
                          </w:r>
                        </w:p>
                      </w:txbxContent>
                    </wps:txbx>
                    <wps:bodyPr wrap="none" lIns="0" tIns="0" rIns="0" bIns="0" upright="false">
                      <a:spAutoFit/>
                    </wps:bodyPr>
                  </wps:wsp>
                </a:graphicData>
              </a:graphic>
            </wp:anchor>
          </w:drawing>
        </mc:Choice>
        <mc:Fallback>
          <w:pict>
            <v:shape id="文本框 1" o:spid="_x0000_s1026" o:spt="202" type="#_x0000_t202" style="position:absolute;left:0pt;margin-top:0pt;height:18.15pt;width:85.05pt;mso-position-horizontal:outside;mso-position-horizontal-relative:margin;mso-wrap-style:none;z-index:251659264;mso-width-relative:page;mso-height-relative:page;" filled="f" stroked="f" coordsize="21600,21600" o:gfxdata="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2nsloNEAAAAEAQAADwAAAAAAAAABACAAAAA4AAAAZHJzL2Rv&#10;d25yZXYueG1sUEsBAhQAFAAAAAgAh07iQJawC9i5AQAAUQMAAA4AAAAAAAAAAQAgAAAANgEAAGRy&#10;cy9lMm9Eb2MueG1sUEsFBgAAAAAGAAYAWQEAAGEFAAAAAA==&#10;">
              <v:fill on="f" focussize="0,0"/>
              <v:stroke on="f"/>
              <v:imagedata o:title=""/>
              <o:lock v:ext="edit" aspectratio="f"/>
              <v:textbox inset="0mm,0mm,0mm,0mm" style="mso-fit-shape-to-text:t;">
                <w:txbxContent>
                  <w:p>
                    <w:pPr>
                      <w:pStyle w:val="3"/>
                      <w:ind w:right="360" w:firstLine="360"/>
                      <w:jc w:val="right"/>
                    </w:pPr>
                    <w:r>
                      <w:rPr>
                        <w:rStyle w:val="8"/>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2</w:t>
                    </w:r>
                    <w:r>
                      <w:rPr>
                        <w:kern w:val="0"/>
                        <w:sz w:val="28"/>
                      </w:rPr>
                      <w:fldChar w:fldCharType="end"/>
                    </w:r>
                    <w:r>
                      <w:rPr>
                        <w:kern w:val="0"/>
                        <w:sz w:val="28"/>
                      </w:rPr>
                      <w:t xml:space="preserve"> </w:t>
                    </w:r>
                    <w:r>
                      <w:rPr>
                        <w:rStyle w:val="8"/>
                        <w:rFonts w:hint="eastAsia"/>
                        <w:sz w:val="28"/>
                      </w:rPr>
                      <w:t>―</w:t>
                    </w:r>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66F"/>
    <w:rsid w:val="00182C70"/>
    <w:rsid w:val="00225ACE"/>
    <w:rsid w:val="00271981"/>
    <w:rsid w:val="00342DA0"/>
    <w:rsid w:val="008C7AE6"/>
    <w:rsid w:val="00BB5B2C"/>
    <w:rsid w:val="00BD016A"/>
    <w:rsid w:val="00C278D1"/>
    <w:rsid w:val="00D76379"/>
    <w:rsid w:val="00EF466F"/>
    <w:rsid w:val="03787C95"/>
    <w:rsid w:val="07D54A5D"/>
    <w:rsid w:val="0A1B7035"/>
    <w:rsid w:val="0E6240FE"/>
    <w:rsid w:val="12F659F6"/>
    <w:rsid w:val="138E7E6A"/>
    <w:rsid w:val="14621215"/>
    <w:rsid w:val="14843011"/>
    <w:rsid w:val="14927483"/>
    <w:rsid w:val="16105898"/>
    <w:rsid w:val="177A04D9"/>
    <w:rsid w:val="1B7E121A"/>
    <w:rsid w:val="1C1103A1"/>
    <w:rsid w:val="1C840EFD"/>
    <w:rsid w:val="1E1155F1"/>
    <w:rsid w:val="272B5167"/>
    <w:rsid w:val="2B667339"/>
    <w:rsid w:val="2BE84031"/>
    <w:rsid w:val="2ECD2BFC"/>
    <w:rsid w:val="33036EEF"/>
    <w:rsid w:val="384A03FE"/>
    <w:rsid w:val="3A7D6046"/>
    <w:rsid w:val="3AA65973"/>
    <w:rsid w:val="3EE33D8D"/>
    <w:rsid w:val="40545700"/>
    <w:rsid w:val="40C17B17"/>
    <w:rsid w:val="40D162F9"/>
    <w:rsid w:val="45F2661B"/>
    <w:rsid w:val="46436FF8"/>
    <w:rsid w:val="4B510796"/>
    <w:rsid w:val="4C486D3A"/>
    <w:rsid w:val="4F4D0005"/>
    <w:rsid w:val="554558E9"/>
    <w:rsid w:val="56D74E99"/>
    <w:rsid w:val="58302E02"/>
    <w:rsid w:val="5DF90B3E"/>
    <w:rsid w:val="5E477525"/>
    <w:rsid w:val="5EA01B32"/>
    <w:rsid w:val="5F85264E"/>
    <w:rsid w:val="64E276D1"/>
    <w:rsid w:val="658B792E"/>
    <w:rsid w:val="65F4648D"/>
    <w:rsid w:val="667947B2"/>
    <w:rsid w:val="6813317B"/>
    <w:rsid w:val="68407F16"/>
    <w:rsid w:val="6E66193F"/>
    <w:rsid w:val="70383806"/>
    <w:rsid w:val="70BD1D2D"/>
    <w:rsid w:val="71396ED6"/>
    <w:rsid w:val="7165090D"/>
    <w:rsid w:val="7183400F"/>
    <w:rsid w:val="774237DD"/>
    <w:rsid w:val="79585FCF"/>
    <w:rsid w:val="7A0B5CAA"/>
    <w:rsid w:val="7E1F73AF"/>
    <w:rsid w:val="7E865C89"/>
    <w:rsid w:val="E75FF7E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unhideWhenUsed/>
    <w:qFormat/>
    <w:uiPriority w:val="99"/>
    <w:pPr>
      <w:ind w:firstLine="420" w:firstLineChars="200"/>
    </w:p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character" w:customStyle="1" w:styleId="9">
    <w:name w:val="页眉 Char"/>
    <w:basedOn w:val="7"/>
    <w:link w:val="4"/>
    <w:qFormat/>
    <w:uiPriority w:val="0"/>
    <w:rPr>
      <w:kern w:val="2"/>
      <w:sz w:val="18"/>
      <w:szCs w:val="18"/>
    </w:rPr>
  </w:style>
  <w:style w:type="character" w:customStyle="1" w:styleId="10">
    <w:name w:val="页脚 Char"/>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26</Pages>
  <Words>1806</Words>
  <Characters>10298</Characters>
  <Lines>85</Lines>
  <Paragraphs>24</Paragraphs>
  <TotalTime>4</TotalTime>
  <ScaleCrop>false</ScaleCrop>
  <LinksUpToDate>false</LinksUpToDate>
  <CharactersWithSpaces>12080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 </cp:lastModifiedBy>
  <cp:lastPrinted>2019-06-25T14:01:00Z</cp:lastPrinted>
  <dcterms:modified xsi:type="dcterms:W3CDTF">2024-05-29T10:11:14Z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9E5879EBA50F4537880093A8B3D60A82</vt:lpwstr>
  </property>
</Properties>
</file>