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margin" w:tblpXSpec="center" w:tblpYSpec="top"/>
        <w:tblW w:w="0" w:type="auto"/>
        <w:tblInd w:w="0" w:type="dxa"/>
        <w:tblLayout w:type="fixed"/>
        <w:tblCellMar>
          <w:top w:w="0" w:type="dxa"/>
          <w:left w:w="108" w:type="dxa"/>
          <w:bottom w:w="0" w:type="dxa"/>
          <w:right w:w="108" w:type="dxa"/>
        </w:tblCellMar>
      </w:tblPr>
      <w:tblGrid>
        <w:gridCol w:w="8908"/>
      </w:tblGrid>
      <w:tr>
        <w:tblPrEx>
          <w:tblCellMar>
            <w:top w:w="0" w:type="dxa"/>
            <w:left w:w="108" w:type="dxa"/>
            <w:bottom w:w="0" w:type="dxa"/>
            <w:right w:w="108" w:type="dxa"/>
          </w:tblCellMar>
        </w:tblPrEx>
        <w:trPr>
          <w:trHeight w:val="2788" w:hRule="atLeast"/>
        </w:trPr>
        <w:tc>
          <w:tcPr>
            <w:tcW w:w="8908" w:type="dxa"/>
            <w:noWrap w:val="0"/>
            <w:vAlign w:val="center"/>
          </w:tcPr>
          <w:p>
            <w:pPr>
              <w:jc w:val="center"/>
              <w:rPr>
                <w:rFonts w:eastAsia="方正小标宋_GBK"/>
                <w:b/>
                <w:color w:val="FF0000"/>
                <w:w w:val="36"/>
                <w:sz w:val="130"/>
                <w:szCs w:val="130"/>
              </w:rPr>
            </w:pPr>
            <w:r>
              <w:rPr>
                <w:rFonts w:hint="eastAsia" w:eastAsia="方正小标宋_GBK"/>
                <w:b/>
                <w:color w:val="FF0000"/>
                <w:spacing w:val="1"/>
                <w:w w:val="54"/>
                <w:kern w:val="0"/>
                <w:sz w:val="130"/>
                <w:szCs w:val="130"/>
                <w:fitText w:val="8496" w:id="1311396081"/>
              </w:rPr>
              <w:t>黔江区石会镇人民政府文</w:t>
            </w:r>
            <w:r>
              <w:rPr>
                <w:rFonts w:hint="eastAsia" w:eastAsia="方正小标宋_GBK"/>
                <w:b/>
                <w:color w:val="FF0000"/>
                <w:spacing w:val="2"/>
                <w:w w:val="54"/>
                <w:kern w:val="0"/>
                <w:sz w:val="130"/>
                <w:szCs w:val="130"/>
                <w:fitText w:val="8496" w:id="1311396081"/>
              </w:rPr>
              <w:t>件</w:t>
            </w:r>
          </w:p>
        </w:tc>
      </w:tr>
      <w:tr>
        <w:tblPrEx>
          <w:tblCellMar>
            <w:top w:w="0" w:type="dxa"/>
            <w:left w:w="108" w:type="dxa"/>
            <w:bottom w:w="0" w:type="dxa"/>
            <w:right w:w="108" w:type="dxa"/>
          </w:tblCellMar>
        </w:tblPrEx>
        <w:trPr>
          <w:trHeight w:val="1521" w:hRule="atLeast"/>
        </w:trPr>
        <w:tc>
          <w:tcPr>
            <w:tcW w:w="8908" w:type="dxa"/>
            <w:noWrap w:val="0"/>
            <w:vAlign w:val="bottom"/>
          </w:tcPr>
          <w:p>
            <w:pPr>
              <w:spacing w:line="540" w:lineRule="exact"/>
              <w:rPr>
                <w:rFonts w:hint="eastAsia" w:eastAsia="方正仿宋_GBK"/>
                <w:sz w:val="34"/>
                <w:szCs w:val="34"/>
              </w:rPr>
            </w:pPr>
          </w:p>
          <w:p>
            <w:pPr>
              <w:spacing w:line="540" w:lineRule="exact"/>
              <w:rPr>
                <w:rFonts w:eastAsia="方正仿宋_GBK"/>
                <w:sz w:val="34"/>
                <w:szCs w:val="34"/>
              </w:rPr>
            </w:pPr>
          </w:p>
          <w:p>
            <w:pPr>
              <w:spacing w:line="540" w:lineRule="exact"/>
              <w:jc w:val="center"/>
              <w:rPr>
                <w:rFonts w:eastAsia="方正仿宋_GBK"/>
                <w:sz w:val="32"/>
                <w:szCs w:val="32"/>
              </w:rPr>
            </w:pPr>
            <w:r>
              <w:rPr>
                <w:rFonts w:hint="eastAsia" w:eastAsia="方正仿宋_GBK"/>
                <w:bCs/>
                <w:sz w:val="32"/>
                <w:szCs w:val="32"/>
              </w:rPr>
              <w:t>石会府发〔2021〕</w:t>
            </w:r>
            <w:r>
              <w:rPr>
                <w:rFonts w:hint="eastAsia"/>
                <w:bCs/>
                <w:sz w:val="32"/>
                <w:szCs w:val="32"/>
                <w:lang w:val="en-US" w:eastAsia="zh-CN"/>
              </w:rPr>
              <w:t>94</w:t>
            </w:r>
            <w:r>
              <w:rPr>
                <w:rFonts w:hint="eastAsia" w:eastAsia="方正仿宋_GBK"/>
                <w:bCs/>
                <w:sz w:val="32"/>
                <w:szCs w:val="32"/>
              </w:rPr>
              <w:t>号</w:t>
            </w:r>
            <w:r>
              <w:rPr>
                <w:rFonts w:hint="eastAsia" w:eastAsia="方正仿宋_GBK"/>
                <w:sz w:val="32"/>
                <w:szCs w:val="32"/>
              </w:rPr>
              <mc:AlternateContent>
                <mc:Choice Requires="wps">
                  <w:drawing>
                    <wp:anchor distT="0" distB="0" distL="114300" distR="114300" simplePos="0" relativeHeight="251659264" behindDoc="0" locked="0" layoutInCell="1" allowOverlap="1">
                      <wp:simplePos x="0" y="0"/>
                      <wp:positionH relativeFrom="page">
                        <wp:posOffset>20320</wp:posOffset>
                      </wp:positionH>
                      <wp:positionV relativeFrom="margin">
                        <wp:posOffset>1076325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Sp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84.75pt;height:0pt;width:442.2pt;mso-position-horizontal-relative:page;mso-position-vertical-relative:margin;z-index:251659264;mso-width-relative:page;mso-height-relative:page;" coordsize="21600,21600" o:gfxdata="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m9VTtcAAAAJAQAADwAAAAAAAAABACAAAAAiAAAAZHJzL2Rvd25yZXYueG1sUEsB&#10;AhQAFAAAAAgAh07iQGkApbj2AQAA5QMAAA4AAAAAAAAAAQAgAAAAJgEAAGRycy9lMm9Eb2MueG1s&#10;UEsFBgAAAAAGAAYAWQEAAI4FAAAAAA==&#10;">
                      <v:path arrowok="t"/>
                      <v:fill focussize="0,0"/>
                      <v:stroke weight="1.75pt" color="#FF0000"/>
                      <v:imagedata o:title=""/>
                      <o:lock v:ext="edit"/>
                    </v:line>
                  </w:pict>
                </mc:Fallback>
              </mc:AlternateContent>
            </w:r>
          </w:p>
        </w:tc>
      </w:tr>
    </w:tbl>
    <w:p>
      <w:pPr>
        <w:spacing w:line="594" w:lineRule="exact"/>
        <w:jc w:val="both"/>
        <w:rPr>
          <w:rFonts w:hint="eastAsia" w:eastAsia="方正仿宋_GBK"/>
          <w:bCs/>
          <w:sz w:val="32"/>
          <w:szCs w:val="32"/>
        </w:rPr>
      </w:pPr>
    </w:p>
    <w:p>
      <w:pPr>
        <w:pStyle w:val="2"/>
        <w:rPr>
          <w:rFonts w:hint="eastAsia"/>
        </w:rPr>
      </w:pPr>
      <w:bookmarkStart w:id="0" w:name="_GoBack"/>
      <w:bookmarkEnd w:id="0"/>
    </w:p>
    <w:p>
      <w:pPr>
        <w:shd w:val="clear" w:color="auto" w:fill="FFFFFF"/>
        <w:spacing w:line="594" w:lineRule="exact"/>
        <w:jc w:val="center"/>
        <w:rPr>
          <w:rFonts w:eastAsia="方正小标宋_GBK"/>
          <w:spacing w:val="-16"/>
          <w:sz w:val="44"/>
          <w:szCs w:val="44"/>
        </w:rPr>
      </w:pPr>
      <w:r>
        <w:rPr>
          <w:rFonts w:eastAsia="方正小标宋_GBK"/>
          <w:spacing w:val="-16"/>
          <w:sz w:val="44"/>
          <w:szCs w:val="44"/>
        </w:rPr>
        <w:t>黔江区石会镇人民政府</w:t>
      </w:r>
    </w:p>
    <w:p>
      <w:pPr>
        <w:spacing w:line="594" w:lineRule="exact"/>
        <w:ind w:firstLine="880" w:firstLineChars="200"/>
        <w:jc w:val="center"/>
        <w:rPr>
          <w:rFonts w:hint="eastAsia" w:ascii="方正小标宋_GBK" w:hAnsi="华文仿宋" w:eastAsia="方正小标宋_GBK"/>
          <w:sz w:val="44"/>
          <w:szCs w:val="44"/>
        </w:rPr>
      </w:pPr>
      <w:r>
        <w:rPr>
          <w:rFonts w:hint="eastAsia" w:ascii="方正小标宋_GBK" w:hAnsi="华文仿宋" w:eastAsia="方正小标宋_GBK"/>
          <w:sz w:val="44"/>
          <w:szCs w:val="44"/>
        </w:rPr>
        <w:t>关于进一步做好农村饮水安全工程</w:t>
      </w:r>
    </w:p>
    <w:p>
      <w:pPr>
        <w:spacing w:line="594" w:lineRule="exact"/>
        <w:ind w:firstLine="880" w:firstLineChars="200"/>
        <w:jc w:val="center"/>
        <w:rPr>
          <w:rFonts w:hint="eastAsia" w:ascii="方正仿宋_GBK" w:hAnsi="华文仿宋"/>
          <w:szCs w:val="32"/>
        </w:rPr>
      </w:pPr>
      <w:r>
        <w:rPr>
          <w:rFonts w:hint="eastAsia" w:ascii="方正小标宋_GBK" w:hAnsi="华文仿宋" w:eastAsia="方正小标宋_GBK"/>
          <w:sz w:val="44"/>
          <w:szCs w:val="44"/>
        </w:rPr>
        <w:t>运行管护的通知</w:t>
      </w:r>
    </w:p>
    <w:p>
      <w:pPr>
        <w:spacing w:line="600" w:lineRule="exact"/>
        <w:rPr>
          <w:rFonts w:hint="eastAsia" w:ascii="方正仿宋_GBK" w:hAnsi="方正仿宋_GBK" w:cs="方正仿宋_GBK"/>
          <w:szCs w:val="32"/>
        </w:rPr>
      </w:pPr>
    </w:p>
    <w:p>
      <w:pPr>
        <w:spacing w:line="600" w:lineRule="exact"/>
        <w:rPr>
          <w:rFonts w:hint="eastAsia" w:ascii="方正仿宋_GBK" w:hAnsi="方正仿宋_GBK" w:cs="方正仿宋_GBK"/>
          <w:szCs w:val="32"/>
        </w:rPr>
      </w:pPr>
      <w:r>
        <w:rPr>
          <w:rFonts w:hint="eastAsia" w:ascii="方正仿宋_GBK" w:hAnsi="方正仿宋_GBK" w:cs="方正仿宋_GBK"/>
          <w:szCs w:val="32"/>
        </w:rPr>
        <w:t>各村（社区）:</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为进一步做好农村饮水安全工程运行管护，充分发挥农村饮水安全工程效益，巩固拓展脱贫攻坚成果同乡村振兴有效衔接，现将相关事宜通知如下。</w:t>
      </w:r>
    </w:p>
    <w:p>
      <w:pPr>
        <w:spacing w:line="600" w:lineRule="exact"/>
        <w:ind w:firstLine="640" w:firstLineChars="200"/>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一、进一步落实农村饮水安全“三个责任”</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各地要认真落实农村饮水安全保障地方行政首长负责制，全面落实农村饮水安全管理政府主体、水行政主管部门监管、供水单位运行管理“三个责任”，规范农村饮水安全工程管理。千人以上集中饮水安全工程要将“三个责任”公示牌（格式见附件）在工程区域醒目位置张贴，千人以下饮水安全工程要以村为单位在村务公开栏张贴公示。</w:t>
      </w:r>
    </w:p>
    <w:p>
      <w:pPr>
        <w:spacing w:line="600" w:lineRule="exact"/>
        <w:ind w:firstLine="640" w:firstLineChars="200"/>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二、健全完善农村饮水安全“三项制度”</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农业服务中心、各村（社区）要按照《黔江区农村饮水安全工程运行管理办法》（黔江府办发〔2019〕54号），健全完善农村饮水安全工程运行管理机构、运行管理制度和运行管理经费“三项制度”。</w:t>
      </w:r>
    </w:p>
    <w:p>
      <w:pPr>
        <w:spacing w:line="600" w:lineRule="exact"/>
        <w:ind w:firstLine="640" w:firstLineChars="200"/>
        <w:rPr>
          <w:rFonts w:hint="eastAsia" w:ascii="方正仿宋_GBK" w:hAnsi="方正仿宋_GBK" w:cs="方正仿宋_GBK"/>
          <w:szCs w:val="32"/>
        </w:rPr>
      </w:pPr>
      <w:r>
        <w:rPr>
          <w:rFonts w:hint="eastAsia" w:ascii="方正楷体_GBK" w:hAnsi="方正楷体_GBK" w:eastAsia="方正楷体_GBK" w:cs="方正楷体_GBK"/>
          <w:bCs/>
          <w:szCs w:val="32"/>
        </w:rPr>
        <w:t>（一）健全完善运行管理机构。</w:t>
      </w:r>
      <w:r>
        <w:rPr>
          <w:rFonts w:hint="eastAsia" w:ascii="方正仿宋_GBK" w:hAnsi="方正仿宋_GBK" w:cs="方正仿宋_GBK"/>
          <w:szCs w:val="32"/>
        </w:rPr>
        <w:t>农业服务中心明确为本地农村饮水安全工程管理机构，并督促指导辖区内组建农村饮水安全工程运行管理单位。千人以上饮水安全工程组建或委托专业化运行管理单位负责运行管理，千人以下百人以上饮水安全工程由村集体或落实专业管理人员负责运行管理，分散饮水安全工程由受益户自用自管。</w:t>
      </w:r>
    </w:p>
    <w:p>
      <w:pPr>
        <w:spacing w:line="600" w:lineRule="exact"/>
        <w:ind w:firstLine="640" w:firstLineChars="200"/>
        <w:rPr>
          <w:rFonts w:hint="eastAsia" w:ascii="方正仿宋_GBK" w:hAnsi="方正仿宋_GBK" w:cs="方正仿宋_GBK"/>
          <w:szCs w:val="32"/>
        </w:rPr>
      </w:pPr>
      <w:r>
        <w:rPr>
          <w:rFonts w:hint="eastAsia" w:ascii="方正楷体_GBK" w:hAnsi="方正楷体_GBK" w:eastAsia="方正楷体_GBK" w:cs="方正楷体_GBK"/>
          <w:bCs/>
          <w:szCs w:val="32"/>
        </w:rPr>
        <w:t>（二）健全完善饮水安全工程管理制度。</w:t>
      </w:r>
      <w:r>
        <w:rPr>
          <w:rFonts w:hint="eastAsia" w:ascii="方正仿宋_GBK" w:hAnsi="方正仿宋_GBK" w:cs="方正仿宋_GBK"/>
          <w:bCs/>
          <w:szCs w:val="32"/>
        </w:rPr>
        <w:t>农业服务中心</w:t>
      </w:r>
      <w:r>
        <w:rPr>
          <w:rFonts w:hint="eastAsia" w:ascii="方正仿宋_GBK" w:hAnsi="方正仿宋_GBK" w:cs="方正仿宋_GBK"/>
          <w:szCs w:val="32"/>
        </w:rPr>
        <w:t>要健全完善镇、村两级运行管理制度（办法），同时，督促指导饮水安全工程运行管理单位（专业管理人员）以农村饮水安全工程为单位制定本工程运行管理制度。镇级运行管理制度应以正式文件印发，村级运行管理制度要形成会议记录，工程运行管理制度应形成标准化制度文件（千人以上饮水安全工程）或“一事一议”会议纪要（千人以下饮水安全工程）。</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运行管理制度应明确管理机构、管理人员、管理人员职责、日常巡查检查、水费收取、水费使用和工程运行维护等。</w:t>
      </w:r>
    </w:p>
    <w:p>
      <w:pPr>
        <w:spacing w:line="600" w:lineRule="exact"/>
        <w:ind w:firstLine="640" w:firstLineChars="200"/>
        <w:rPr>
          <w:rFonts w:hint="eastAsia" w:ascii="方正仿宋_GBK" w:hAnsi="方正仿宋_GBK" w:cs="方正仿宋_GBK"/>
          <w:szCs w:val="32"/>
        </w:rPr>
      </w:pPr>
      <w:r>
        <w:rPr>
          <w:rFonts w:hint="eastAsia" w:ascii="方正楷体_GBK" w:hAnsi="方正楷体_GBK" w:eastAsia="方正楷体_GBK" w:cs="方正楷体_GBK"/>
          <w:bCs/>
          <w:szCs w:val="32"/>
        </w:rPr>
        <w:t>（三）健全完善经费保障机制。</w:t>
      </w:r>
      <w:r>
        <w:rPr>
          <w:rFonts w:hint="eastAsia" w:ascii="方正仿宋_GBK" w:hAnsi="方正仿宋_GBK" w:cs="方正仿宋_GBK"/>
          <w:szCs w:val="32"/>
        </w:rPr>
        <w:t>按照“谁受益、设负担”的原则，实施有偿供水，并推行“基本水价+计量水价”的两部制水价。千人以上饮水安全工程水费实行政府指导价，千人以下饮水安全工程由受益群众通过“一事一议”确定水价。应在运行管理制度中明确水费使用方式，同时，计提维修养护经费，用于饮水安全工程日常运行管护，确保长效运行。</w:t>
      </w:r>
    </w:p>
    <w:p>
      <w:pPr>
        <w:spacing w:line="600" w:lineRule="exact"/>
        <w:ind w:firstLine="640" w:firstLineChars="200"/>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三、进一步加强农村饮水安全工程运行管理</w:t>
      </w:r>
    </w:p>
    <w:p>
      <w:pPr>
        <w:spacing w:line="60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督促运行管护单位（专业管理人员）落实运行管理责任，按照健全完善的饮水安全工程运行管理制度开展运行管理工作。</w:t>
      </w:r>
    </w:p>
    <w:p>
      <w:pPr>
        <w:spacing w:line="600" w:lineRule="exact"/>
        <w:ind w:firstLine="640" w:firstLineChars="200"/>
        <w:rPr>
          <w:rFonts w:hint="eastAsia" w:ascii="方正仿宋_GBK" w:hAnsi="方正仿宋_GBK" w:cs="方正仿宋_GBK"/>
          <w:szCs w:val="32"/>
        </w:rPr>
      </w:pPr>
      <w:r>
        <w:rPr>
          <w:rFonts w:hint="eastAsia" w:ascii="方正楷体_GBK" w:hAnsi="方正楷体_GBK" w:eastAsia="方正楷体_GBK" w:cs="方正楷体_GBK"/>
          <w:bCs/>
          <w:szCs w:val="32"/>
        </w:rPr>
        <w:t>（一）加强巡查检查。</w:t>
      </w:r>
      <w:r>
        <w:rPr>
          <w:rFonts w:hint="eastAsia" w:ascii="方正仿宋_GBK" w:hAnsi="方正仿宋_GBK" w:cs="方正仿宋_GBK"/>
          <w:szCs w:val="32"/>
        </w:rPr>
        <w:t>定期对饮水安全工程水源池、蓄水池、输水管网等设施设备开展巡查检查，防止倾倒垃圾、规模化养殖等可能造成水源污染的情况发生；蓄水设施上的杂物要及时清除，定时对水源池、蓄水池进行清洗和消毒；供水设施设备损坏的，要及时修复，确保用水正常。巡查检查要做好记录备查。</w:t>
      </w:r>
    </w:p>
    <w:p>
      <w:pPr>
        <w:spacing w:line="600" w:lineRule="exact"/>
        <w:ind w:firstLine="640" w:firstLineChars="200"/>
        <w:rPr>
          <w:rFonts w:hint="eastAsia" w:ascii="方正仿宋_GBK" w:hAnsi="方正仿宋_GBK" w:cs="方正仿宋_GBK"/>
          <w:szCs w:val="32"/>
        </w:rPr>
      </w:pPr>
      <w:r>
        <w:rPr>
          <w:rFonts w:hint="eastAsia" w:ascii="方正楷体_GBK" w:hAnsi="方正楷体_GBK" w:eastAsia="方正楷体_GBK" w:cs="方正楷体_GBK"/>
          <w:bCs/>
          <w:szCs w:val="32"/>
        </w:rPr>
        <w:t>（二）严格制水消毒。</w:t>
      </w:r>
      <w:r>
        <w:rPr>
          <w:rFonts w:hint="eastAsia" w:ascii="方正仿宋_GBK" w:hAnsi="方正仿宋_GBK" w:cs="方正仿宋_GBK"/>
          <w:szCs w:val="32"/>
        </w:rPr>
        <w:t>严格执行制水、消毒规定，确保水质达标。具备制水条件的，应确保制水设备24小时不间断运行，设备操作要符合操作规程，操作人员要经过培训；采用超滤膜一体化制水设备的，要确保设备正常运行；不具备制水条件的 ，要通过加缓释消毒片的方式，提升水质。</w:t>
      </w:r>
    </w:p>
    <w:p>
      <w:pPr>
        <w:spacing w:line="600" w:lineRule="exact"/>
        <w:ind w:firstLine="640" w:firstLineChars="200"/>
        <w:rPr>
          <w:rFonts w:hint="eastAsia" w:ascii="方正仿宋_GBK" w:hAnsi="方正仿宋_GBK" w:cs="方正仿宋_GBK"/>
          <w:szCs w:val="32"/>
        </w:rPr>
      </w:pPr>
      <w:r>
        <w:rPr>
          <w:rFonts w:hint="eastAsia" w:ascii="方正楷体_GBK" w:hAnsi="方正楷体_GBK" w:eastAsia="方正楷体_GBK" w:cs="方正楷体_GBK"/>
          <w:bCs/>
          <w:szCs w:val="32"/>
        </w:rPr>
        <w:t>（三）强化水质检测。</w:t>
      </w:r>
      <w:r>
        <w:rPr>
          <w:rFonts w:hint="eastAsia" w:ascii="方正仿宋_GBK" w:hAnsi="方正仿宋_GBK" w:cs="方正仿宋_GBK"/>
          <w:szCs w:val="32"/>
        </w:rPr>
        <w:t>千人以上饮水安全工程每日应进行9项常规指标水质自检，并做好检测记录；千人以下饮水安全工程由专业管理人员每月开展一次水质巡查检查，并做好记录。同时，千人以上饮水安全工程要办理卫生许可证，不具备办理卫生许可证主体资格的，要将水质检测报告在供水区域公示。</w:t>
      </w:r>
    </w:p>
    <w:p>
      <w:pPr>
        <w:spacing w:line="600" w:lineRule="exact"/>
        <w:ind w:firstLine="640" w:firstLineChars="200"/>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rPr>
        <w:t>四、强化督查考核</w:t>
      </w:r>
    </w:p>
    <w:p>
      <w:pPr>
        <w:spacing w:line="594" w:lineRule="exact"/>
        <w:ind w:firstLine="640" w:firstLineChars="200"/>
        <w:rPr>
          <w:rFonts w:hint="eastAsia" w:ascii="方正仿宋_GBK" w:hAnsi="华文仿宋"/>
          <w:szCs w:val="32"/>
        </w:rPr>
      </w:pPr>
      <w:r>
        <w:rPr>
          <w:rFonts w:hint="eastAsia" w:ascii="方正仿宋_GBK" w:hAnsi="方正仿宋_GBK" w:cs="方正仿宋_GBK"/>
          <w:szCs w:val="32"/>
        </w:rPr>
        <w:t>农业服务中心将对农村饮水安全工程运行管理落实情况进行督查，作为申请农村饮水安全工程维修养护资金的重要依据，凡管护责任不落实、管理制度不健全、日常管护不到位的，不得申报农村饮水安全工程维修养护资金。同时，纳入最严格水资源管理和全面推进河长制考核内容。</w:t>
      </w:r>
    </w:p>
    <w:p>
      <w:pPr>
        <w:spacing w:line="594" w:lineRule="exact"/>
        <w:ind w:firstLine="640" w:firstLineChars="200"/>
        <w:rPr>
          <w:rFonts w:hint="eastAsia"/>
          <w:szCs w:val="32"/>
        </w:rPr>
      </w:pPr>
    </w:p>
    <w:p>
      <w:pPr>
        <w:spacing w:line="594" w:lineRule="exact"/>
        <w:ind w:firstLine="4960" w:firstLineChars="1550"/>
        <w:rPr>
          <w:szCs w:val="32"/>
        </w:rPr>
      </w:pPr>
      <w:r>
        <w:rPr>
          <w:szCs w:val="32"/>
        </w:rPr>
        <w:t>黔江区石会镇人民政府</w:t>
      </w:r>
    </w:p>
    <w:p>
      <w:pPr>
        <w:spacing w:line="594" w:lineRule="exact"/>
        <w:ind w:firstLine="5280" w:firstLineChars="1650"/>
        <w:rPr>
          <w:szCs w:val="32"/>
        </w:rPr>
      </w:pPr>
      <w:r>
        <w:rPr>
          <w:szCs w:val="32"/>
        </w:rPr>
        <w:t>2021年</w:t>
      </w:r>
      <w:r>
        <w:rPr>
          <w:rFonts w:hint="eastAsia"/>
          <w:szCs w:val="32"/>
        </w:rPr>
        <w:t>11</w:t>
      </w:r>
      <w:r>
        <w:rPr>
          <w:szCs w:val="32"/>
        </w:rPr>
        <w:t>月</w:t>
      </w:r>
      <w:r>
        <w:rPr>
          <w:rFonts w:hint="eastAsia"/>
          <w:szCs w:val="32"/>
        </w:rPr>
        <w:t>4</w:t>
      </w:r>
      <w:r>
        <w:rPr>
          <w:szCs w:val="32"/>
        </w:rPr>
        <w:t>日</w:t>
      </w:r>
    </w:p>
    <w:p>
      <w:pPr>
        <w:spacing w:line="594" w:lineRule="exact"/>
        <w:rPr>
          <w:szCs w:val="32"/>
        </w:rPr>
      </w:pPr>
    </w:p>
    <w:p>
      <w:pPr>
        <w:spacing w:line="560" w:lineRule="exact"/>
        <w:ind w:firstLine="640" w:firstLineChars="200"/>
        <w:rPr>
          <w:rFonts w:hint="eastAsia"/>
          <w:szCs w:val="32"/>
        </w:rPr>
      </w:pPr>
      <w:r>
        <w:rPr>
          <w:rFonts w:hint="eastAsia" w:ascii="Times New Roman" w:hAnsi="Times New Roman" w:eastAsia="方正仿宋_GBK"/>
          <w:sz w:val="32"/>
          <w:szCs w:val="32"/>
          <w:lang w:eastAsia="zh-CN"/>
        </w:rPr>
        <w:t>（此件公开发布）</w:t>
      </w:r>
    </w:p>
    <w:p>
      <w:pPr>
        <w:spacing w:line="560" w:lineRule="exact"/>
        <w:ind w:firstLine="5920" w:firstLineChars="1850"/>
        <w:rPr>
          <w:rFonts w:hint="eastAsia"/>
          <w:szCs w:val="32"/>
        </w:rPr>
      </w:pPr>
    </w:p>
    <w:p>
      <w:pPr>
        <w:pStyle w:val="2"/>
        <w:rPr>
          <w:rFonts w:hint="eastAsia"/>
        </w:rPr>
      </w:pPr>
    </w:p>
    <w:p>
      <w:pPr>
        <w:pBdr>
          <w:top w:val="single" w:color="auto" w:sz="4" w:space="1"/>
          <w:bottom w:val="single" w:color="auto" w:sz="4" w:space="0"/>
        </w:pBdr>
        <w:adjustRightInd w:val="0"/>
        <w:snapToGrid w:val="0"/>
        <w:spacing w:line="480" w:lineRule="exact"/>
        <w:ind w:firstLine="280" w:firstLineChars="100"/>
        <w:rPr>
          <w:rFonts w:hint="eastAsia" w:ascii="方正仿宋_GBK"/>
          <w:szCs w:val="32"/>
        </w:rPr>
      </w:pPr>
      <w:r>
        <w:rPr>
          <w:rFonts w:hint="eastAsia" w:ascii="方正仿宋_GBK"/>
          <w:sz w:val="28"/>
          <w:szCs w:val="28"/>
        </w:rPr>
        <w:t xml:space="preserve">黔江区石会镇党政办公室                </w:t>
      </w:r>
      <w:r>
        <w:rPr>
          <w:rFonts w:ascii="方正仿宋_GBK"/>
          <w:sz w:val="28"/>
          <w:szCs w:val="28"/>
        </w:rPr>
        <w:t xml:space="preserve"> </w:t>
      </w:r>
      <w:r>
        <w:rPr>
          <w:rFonts w:hint="eastAsia" w:ascii="方正仿宋_GBK"/>
          <w:sz w:val="28"/>
          <w:szCs w:val="28"/>
        </w:rPr>
        <w:t xml:space="preserve"> </w:t>
      </w:r>
      <w:r>
        <w:rPr>
          <w:rFonts w:ascii="方正仿宋_GBK"/>
          <w:sz w:val="28"/>
          <w:szCs w:val="28"/>
        </w:rPr>
        <w:t>20</w:t>
      </w:r>
      <w:r>
        <w:rPr>
          <w:rFonts w:hint="eastAsia" w:ascii="方正仿宋_GBK"/>
          <w:sz w:val="28"/>
          <w:szCs w:val="28"/>
        </w:rPr>
        <w:t>21年11月4日印发</w:t>
      </w:r>
    </w:p>
    <w:sectPr>
      <w:footerReference r:id="rId3"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DY1OTVhZjZlYjA5YTM0OGE5OTU4MGYzZTVmMWMifQ=="/>
  </w:docVars>
  <w:rsids>
    <w:rsidRoot w:val="00172A27"/>
    <w:rsid w:val="00172A27"/>
    <w:rsid w:val="00331DD0"/>
    <w:rsid w:val="005415E4"/>
    <w:rsid w:val="00857F1B"/>
    <w:rsid w:val="00957179"/>
    <w:rsid w:val="00BD1343"/>
    <w:rsid w:val="00BD2EB8"/>
    <w:rsid w:val="00D82A6B"/>
    <w:rsid w:val="00E020B8"/>
    <w:rsid w:val="02E84D58"/>
    <w:rsid w:val="09A1451C"/>
    <w:rsid w:val="09AC4647"/>
    <w:rsid w:val="0B5736E2"/>
    <w:rsid w:val="0CC17BAE"/>
    <w:rsid w:val="11A417F0"/>
    <w:rsid w:val="13BD0083"/>
    <w:rsid w:val="18D75AFC"/>
    <w:rsid w:val="1AB66E21"/>
    <w:rsid w:val="1B777994"/>
    <w:rsid w:val="1E250C74"/>
    <w:rsid w:val="20E42050"/>
    <w:rsid w:val="22322691"/>
    <w:rsid w:val="22C31BFB"/>
    <w:rsid w:val="2315572F"/>
    <w:rsid w:val="2524166E"/>
    <w:rsid w:val="2A66476F"/>
    <w:rsid w:val="2CCC5418"/>
    <w:rsid w:val="2D8C315B"/>
    <w:rsid w:val="2F3C3A28"/>
    <w:rsid w:val="3018146C"/>
    <w:rsid w:val="30A051A4"/>
    <w:rsid w:val="31413737"/>
    <w:rsid w:val="353F4789"/>
    <w:rsid w:val="390515ED"/>
    <w:rsid w:val="39EE59E3"/>
    <w:rsid w:val="3A195C93"/>
    <w:rsid w:val="414106D9"/>
    <w:rsid w:val="42F703C6"/>
    <w:rsid w:val="441A2008"/>
    <w:rsid w:val="445E1700"/>
    <w:rsid w:val="44760C01"/>
    <w:rsid w:val="44BF0542"/>
    <w:rsid w:val="450028A3"/>
    <w:rsid w:val="47F779E6"/>
    <w:rsid w:val="49CE62DB"/>
    <w:rsid w:val="4C763077"/>
    <w:rsid w:val="4CFA1DA2"/>
    <w:rsid w:val="4DD1579D"/>
    <w:rsid w:val="52F52E7A"/>
    <w:rsid w:val="5315375B"/>
    <w:rsid w:val="542E298B"/>
    <w:rsid w:val="548A25F7"/>
    <w:rsid w:val="55333063"/>
    <w:rsid w:val="58697A50"/>
    <w:rsid w:val="58FD3B5E"/>
    <w:rsid w:val="592808C8"/>
    <w:rsid w:val="5B1B2191"/>
    <w:rsid w:val="5E4745BE"/>
    <w:rsid w:val="5E752064"/>
    <w:rsid w:val="60B613DF"/>
    <w:rsid w:val="61094390"/>
    <w:rsid w:val="61F87C27"/>
    <w:rsid w:val="625563A5"/>
    <w:rsid w:val="629C2B49"/>
    <w:rsid w:val="64301BBE"/>
    <w:rsid w:val="66985913"/>
    <w:rsid w:val="69122439"/>
    <w:rsid w:val="6A5E537C"/>
    <w:rsid w:val="6BAB6968"/>
    <w:rsid w:val="6DD335E1"/>
    <w:rsid w:val="70A04D4A"/>
    <w:rsid w:val="772A1BE4"/>
    <w:rsid w:val="78A904E6"/>
    <w:rsid w:val="78E952FA"/>
    <w:rsid w:val="79A90FD0"/>
    <w:rsid w:val="79BC449F"/>
    <w:rsid w:val="79C404D9"/>
    <w:rsid w:val="7A3B4602"/>
    <w:rsid w:val="7D3A6F42"/>
    <w:rsid w:val="7EC96FBB"/>
    <w:rsid w:val="7FD40659"/>
    <w:rsid w:val="7FE4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方正仿宋_GBK" w:cstheme="minorBidi"/>
      <w:sz w:val="32"/>
      <w:lang w:val="en-US" w:eastAsia="zh-CN" w:bidi="ar-SA"/>
    </w:rPr>
  </w:style>
  <w:style w:type="paragraph" w:styleId="3">
    <w:name w:val="heading 4"/>
    <w:basedOn w:val="1"/>
    <w:next w:val="1"/>
    <w:link w:val="16"/>
    <w:qFormat/>
    <w:uiPriority w:val="0"/>
    <w:pPr>
      <w:widowControl w:val="0"/>
      <w:adjustRightInd w:val="0"/>
      <w:spacing w:line="560" w:lineRule="atLeast"/>
      <w:ind w:left="557"/>
      <w:jc w:val="both"/>
      <w:textAlignment w:val="baseline"/>
      <w:outlineLvl w:val="3"/>
    </w:pPr>
    <w:rPr>
      <w:rFonts w:ascii="宋体" w:hAnsi="宋体" w:eastAsia="仿宋_GB2312" w:cs="Times New Roman"/>
      <w:kern w:val="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1"/>
    <w:basedOn w:val="2"/>
    <w:next w:val="2"/>
    <w:qFormat/>
    <w:uiPriority w:val="0"/>
  </w:style>
  <w:style w:type="paragraph" w:customStyle="1" w:styleId="9">
    <w:name w:val="样式3"/>
    <w:basedOn w:val="1"/>
    <w:next w:val="2"/>
    <w:qFormat/>
    <w:uiPriority w:val="0"/>
  </w:style>
  <w:style w:type="paragraph" w:customStyle="1" w:styleId="10">
    <w:name w:val="样式4"/>
    <w:basedOn w:val="1"/>
    <w:next w:val="2"/>
    <w:qFormat/>
    <w:uiPriority w:val="0"/>
    <w:rPr>
      <w:sz w:val="21"/>
      <w:szCs w:val="24"/>
    </w:rPr>
  </w:style>
  <w:style w:type="paragraph" w:customStyle="1" w:styleId="11">
    <w:name w:val="样式6"/>
    <w:basedOn w:val="1"/>
    <w:next w:val="1"/>
    <w:qFormat/>
    <w:uiPriority w:val="0"/>
    <w:rPr>
      <w:sz w:val="21"/>
      <w:szCs w:val="24"/>
    </w:rPr>
  </w:style>
  <w:style w:type="paragraph" w:customStyle="1" w:styleId="12">
    <w:name w:val="样式7"/>
    <w:basedOn w:val="1"/>
    <w:next w:val="1"/>
    <w:qFormat/>
    <w:uiPriority w:val="0"/>
    <w:rPr>
      <w:rFonts w:asciiTheme="minorHAnsi" w:hAnsiTheme="minorHAnsi"/>
    </w:rPr>
  </w:style>
  <w:style w:type="paragraph" w:customStyle="1" w:styleId="13">
    <w:name w:val="样式8"/>
    <w:basedOn w:val="1"/>
    <w:next w:val="2"/>
    <w:uiPriority w:val="0"/>
    <w:rPr>
      <w:rFonts w:asciiTheme="minorHAnsi" w:hAnsiTheme="minorHAnsi"/>
    </w:rPr>
  </w:style>
  <w:style w:type="character" w:customStyle="1" w:styleId="14">
    <w:name w:val="页眉 Char"/>
    <w:basedOn w:val="7"/>
    <w:link w:val="5"/>
    <w:uiPriority w:val="0"/>
    <w:rPr>
      <w:rFonts w:ascii="Times New Roman" w:hAnsi="Times New Roman" w:eastAsia="方正仿宋_GBK" w:cstheme="minorBidi"/>
      <w:sz w:val="18"/>
      <w:szCs w:val="18"/>
    </w:rPr>
  </w:style>
  <w:style w:type="character" w:customStyle="1" w:styleId="15">
    <w:name w:val="页脚 Char"/>
    <w:basedOn w:val="7"/>
    <w:link w:val="4"/>
    <w:uiPriority w:val="0"/>
    <w:rPr>
      <w:rFonts w:ascii="Times New Roman" w:hAnsi="Times New Roman" w:eastAsia="方正仿宋_GBK" w:cstheme="minorBidi"/>
      <w:sz w:val="18"/>
      <w:szCs w:val="18"/>
    </w:rPr>
  </w:style>
  <w:style w:type="character" w:customStyle="1" w:styleId="16">
    <w:name w:val="标题 4 Char"/>
    <w:basedOn w:val="7"/>
    <w:link w:val="3"/>
    <w:uiPriority w:val="0"/>
    <w:rPr>
      <w:rFonts w:ascii="宋体" w:hAnsi="宋体" w:eastAsia="仿宋_GB2312"/>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1566</Words>
  <Characters>1583</Characters>
  <Lines>11</Lines>
  <Paragraphs>3</Paragraphs>
  <TotalTime>0</TotalTime>
  <ScaleCrop>false</ScaleCrop>
  <LinksUpToDate>false</LinksUpToDate>
  <CharactersWithSpaces>1602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2021-10-29T07:40:00Z</dcterms:created>
  <dc:creator>黄祥义</dc:creator>
  <cp:lastModifiedBy>芋头</cp:lastModifiedBy>
  <dcterms:modified xsi:type="dcterms:W3CDTF">2023-08-04T02:25:51Z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A09033C98CA34661BD5BDB5487399344_12</vt:lpwstr>
  </property>
</Properties>
</file>