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pict>
          <v:shape id="AutoShape 2" o:spid="_x0000_s2050" o:spt="136" type="#_x0000_t136" style="position:absolute;left:0pt;margin-left:77.15pt;margin-top:158.3pt;height:52.45pt;width:425.2pt;mso-position-horizontal-relative:page;mso-position-vertical-relative:page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黔江区金溪镇人民政府文件" style="font-family:方正小标宋_GBK;font-size:36pt;v-text-align:center;"/>
          </v:shape>
        </w:pic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379730</wp:posOffset>
                </wp:positionV>
                <wp:extent cx="5869305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9640" y="3964305"/>
                          <a:ext cx="586930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7pt;margin-top:29.9pt;height:0.6pt;width:462.15pt;z-index:251660288;mso-width-relative:page;mso-height-relative:page;" filled="f" stroked="t" coordsize="21600,21600" o:gfxdata="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rphuHYAAAACAEAAA8AAAAAAAAA&#10;AQAgAAAAIgAAAGRycy9kb3ducmV2LnhtbFBLAQIUABQAAAAIAIdO4kDINbjsEQIAAAoEAAAOAAAA&#10;AAAAAAEAIAAAACcBAABkcnMvZTJvRG9jLnhtbFBLBQYAAAAABgAGAFkBAACq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金溪府发〔202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黔江区金溪镇人民政府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关于印发《金溪镇垃圾分类先锋创建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工作</w:t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各村（社区）、镇级有关部门、相关民营企业：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为全面推进我镇垃圾分类治理工作，践行绿色发展理念，决定在我镇深入开展垃圾分类先锋创建。现将《金溪镇垃圾分类先锋创建工作方案》印发给你们，请认真贯彻执行。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黔江区金溪镇人民政府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抄送：区城管局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黔江区金溪镇党政办公室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印发</w:t>
            </w:r>
          </w:p>
        </w:tc>
      </w:tr>
    </w:tbl>
    <w:p>
      <w:pPr>
        <w:spacing w:line="574" w:lineRule="exact"/>
        <w:jc w:val="center"/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12"/>
          <w:rFonts w:hint="default" w:ascii="Times New Roman" w:hAnsi="Times New Roman" w:cs="Times New Roman"/>
          <w:b w:val="0"/>
          <w:color w:val="000000"/>
          <w:szCs w:val="32"/>
          <w:shd w:val="clear" w:color="auto" w:fill="FFFFFF"/>
        </w:rPr>
        <w:br w:type="page"/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  <w:lang w:eastAsia="zh-CN"/>
        </w:rPr>
        <w:t>金溪镇</w:t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垃圾分类先锋创建工作</w:t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12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方案</w:t>
      </w:r>
    </w:p>
    <w:p>
      <w:pPr>
        <w:spacing w:line="574" w:lineRule="exact"/>
        <w:ind w:firstLine="420" w:firstLineChars="200"/>
        <w:rPr>
          <w:rFonts w:hint="default" w:ascii="Times New Roman" w:hAnsi="Times New Roman" w:cs="Times New Roman"/>
          <w:color w:val="000000"/>
        </w:rPr>
      </w:pP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为全面推进垃圾分类治理工作，践行绿色发展理念，根据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《关于印发&lt;黔江区垃圾分类先锋创建工作方案&gt;的通知》（黔江垃圾分类办发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文件精神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3月1日全区生活垃圾分类先锋创建工作推进会议精神及工作安排，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决定在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深入开展垃圾分类先锋创建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实际，特制定本方案。</w:t>
      </w:r>
    </w:p>
    <w:p>
      <w:pPr>
        <w:spacing w:line="574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一、总体要求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以习近平新时代中国特色社会主义思想为指导，全面贯彻党的二十大精神，深入学习贯彻习近平总书记关于垃圾分类系列重要指示批示精神，认真落实市委六届二次、三次全会和区委五届三次、四次全会决策部署，按照“全生命周期管理、全过程分类治理、全区域统筹实施、全社会普遍参与和共建共治共享”要求，以创建为载体，以创促改、以创促升，全面提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垃圾分类治理水平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spacing w:line="574" w:lineRule="exact"/>
        <w:ind w:firstLine="640" w:firstLineChars="200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</w:t>
      </w: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、创建目标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到2024年5月，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我镇成功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创建垃圾分类先锋单元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2个：金溪镇人民政府、金溪社区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成功创建17个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垃圾分类先锋细胞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：金溪镇派出所、司法所、邮政局、农商行、金溪镇卫生院、供电所、金溪水厂、金溪中心校、乐购超市、旭晋超市、平溪村悦心憩园客栈、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6个居民点（金溪社区民生新街居民点、望岭村桂花园居民点、平溪村窄颈子居民点、平溪村宝大田居民点、山坳村新店子居民点、桃坪村田坝居民点）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spacing w:line="574" w:lineRule="exact"/>
        <w:ind w:firstLine="640" w:firstLineChars="200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</w:t>
      </w: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、工作任务</w:t>
      </w:r>
    </w:p>
    <w:p>
      <w:pPr>
        <w:pStyle w:val="5"/>
        <w:wordWrap/>
        <w:spacing w:line="574" w:lineRule="exact"/>
        <w:ind w:left="0"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（一）垃圾分类先锋创建评价指标。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从源头减量、垃圾分类收运处置体系建设和管理、垃圾资源化回收利用、数字化管理、基层治理、宣传教育、保障措施7个方面、53项指标。相关职能科室、村（社区）、单位对标对项，全力做好垃圾分类先锋创建工作。</w:t>
      </w:r>
    </w:p>
    <w:p>
      <w:pPr>
        <w:pStyle w:val="5"/>
        <w:wordWrap/>
        <w:spacing w:line="574" w:lineRule="exact"/>
        <w:ind w:left="0" w:leftChars="0" w:firstLine="640" w:firstLineChars="200"/>
        <w:rPr>
          <w:rFonts w:hint="default" w:ascii="Times New Roman" w:hAnsi="Times New Roman" w:eastAsia="方正楷体_GBK" w:cs="Times New Roman"/>
          <w:b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（二）先锋创建单位台账完善，管理规范。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垃圾分类基本情况概述（如居民/员工人数、责任分工、分类设施配置情况等）；生活垃圾分类工作实施方案；单位签订的责任书、居民/员工签订的承诺书；四分类日收运基础台账、有害垃圾移交表等；分类指导员日巡查记录；清扫收集运输公司经营许可证；检查指导、培训动员、清洗设施、巡查翻桶等简报或图片；集中用餐区张榜公示本单位生活垃圾日分类量；资料齐全、填写规范、分类整理、保管妥善、随时查阅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（三）资料报送。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各相关垃圾分类先锋创建单元及先锋创建细胞按照责任分工，于4月15日前将相关工作文件、进展总结及图片资料报镇乡村建设服务中心。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四、工作保障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镇生活垃圾分类工作领导小组办公室要加强统筹协调、督促指导，将创建结果作为有关考核和资金安排的重要依据。要深刻认识创建工作的重要意义，把垃圾分类治理列为年度重点工作任务，以先锋创建为契机，将先锋创建与创文、创卫有机结合、一体推进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（二）强化基层发动。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以社区、单位为主体，建立奖惩约束机制，广泛开展垃圾分类先锋大院、模范家庭评选，引导单位、家庭及个人落实生活垃圾源头减量、分类投放等要求，积极参与垃圾分类宣传和监督等活动，抓实生活垃圾分类“最先一公里”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（三）广泛营造氛围。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充分利用广播、QQ、微信等新闻载体，通过开展垃圾分类志愿服务、入户宣传、典型案例推广等方式，广泛宣传创建工作动态及成果，改变居民原有生活方式，推动习惯养成，形成赛马比拼的良好氛围。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（四）严格执法监管。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持续加大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Hans" w:bidi="ar-SA"/>
        </w:rPr>
        <w:t>生活垃圾分类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全过程监管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Hans" w:bidi="ar-SA"/>
        </w:rPr>
        <w:t>执法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力度，紧紧抓住问题易发多发的重点区域和关键环节，对混投、混收、混运“三混”等违法行为采取“严查+重惩”的顶格式执法，用好信用惩戒机制，提升分类质效。领导小组要强化动态管理，建立健全回访机制，适时开展抽查，持续监督管理，确保其始终达到创建标准要求。</w:t>
      </w:r>
    </w:p>
    <w:p>
      <w:pPr>
        <w:spacing w:line="574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）严肃工作纪律。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严格落实中央八项规定精神，力戒形式主义、官僚主义。坚持公平公正公开，严格按照程序和标准开展创建工作，确保创建过程和结果经得起检验。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pacing w:val="-11"/>
          <w:kern w:val="2"/>
          <w:sz w:val="32"/>
          <w:szCs w:val="32"/>
          <w:lang w:val="en-US" w:eastAsia="zh-CN" w:bidi="ar-SA"/>
        </w:rPr>
        <w:t>1. 黔江区金溪镇垃圾分类先锋创建评价指标及责任分工</w:t>
      </w:r>
    </w:p>
    <w:p>
      <w:pPr>
        <w:numPr>
          <w:ilvl w:val="0"/>
          <w:numId w:val="0"/>
        </w:numPr>
        <w:spacing w:line="574" w:lineRule="exact"/>
        <w:ind w:left="1656" w:leftChars="0"/>
        <w:rPr>
          <w:rFonts w:hint="default" w:ascii="Times New Roman" w:hAnsi="Times New Roman" w:eastAsia="方正仿宋_GBK" w:cs="Times New Roman"/>
          <w:color w:val="000000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spacing w:val="-17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color w:val="000000"/>
          <w:spacing w:val="-17"/>
          <w:kern w:val="2"/>
          <w:sz w:val="32"/>
          <w:szCs w:val="32"/>
          <w:lang w:val="en-US" w:eastAsia="zh-CN" w:bidi="ar-SA"/>
        </w:rPr>
        <w:t>重庆市黔江区垃圾分类先锋街道（乡镇）创建评价指标</w:t>
      </w:r>
    </w:p>
    <w:p>
      <w:pPr>
        <w:numPr>
          <w:ilvl w:val="0"/>
          <w:numId w:val="0"/>
        </w:numPr>
        <w:spacing w:line="574" w:lineRule="exact"/>
        <w:ind w:left="1656" w:leftChars="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重庆市黔江区垃圾分类先锋社区创建评价指标</w:t>
      </w:r>
    </w:p>
    <w:p>
      <w:pPr>
        <w:spacing w:line="574" w:lineRule="exact"/>
        <w:ind w:firstLine="1600" w:firstLineChars="5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4.重庆市黔江区垃圾分类先锋行政村创建评价指标</w:t>
      </w:r>
    </w:p>
    <w:p>
      <w:pPr>
        <w:spacing w:line="574" w:lineRule="exact"/>
        <w:ind w:firstLine="1600" w:firstLineChars="5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5.重庆市黔江区垃圾分类先锋小区创建评价指标</w:t>
      </w:r>
    </w:p>
    <w:p>
      <w:pPr>
        <w:spacing w:line="574" w:lineRule="exact"/>
        <w:ind w:firstLine="1600" w:firstLineChars="5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6.重庆市黔江区垃圾分类先锋单位创建评价指标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黔江区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金溪镇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垃圾分类先锋创建评价指标及责任分工</w:t>
      </w:r>
    </w:p>
    <w:p>
      <w:pPr>
        <w:spacing w:line="20" w:lineRule="exact"/>
        <w:rPr>
          <w:rFonts w:hint="default" w:ascii="Times New Roman" w:hAnsi="Times New Roman" w:cs="Times New Roman"/>
          <w:color w:val="000000"/>
        </w:rPr>
      </w:pP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497"/>
        <w:gridCol w:w="1094"/>
        <w:gridCol w:w="2702"/>
        <w:gridCol w:w="1019"/>
        <w:gridCol w:w="3782"/>
        <w:gridCol w:w="1730"/>
        <w:gridCol w:w="1474"/>
        <w:gridCol w:w="16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tblHeader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60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创建</w:t>
            </w: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工作任务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责任单位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人均生活垃圾产生量逐年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下降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1.制定辖区生活垃圾总量控制计划和实施方案；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2.采取有效措施，使得人均生活垃圾产生量逐年下降。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镇级各部门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967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引导小区居民、单位员工低碳出行、绿色办公，倡导绿色低碳生活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1.采取有效措施，引导居民低碳出行，倡导绿色低碳生活方式；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2.公共机构节约能源资源措施有力，积极推行办公场所无纸化绿色办公，鼓励使用再生纸制品，全面停止使用不可降解一次性塑料制品。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镇级各部门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76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2" w:type="pct"/>
            <w:vMerge w:val="continue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减少商品过度包装措施</w:t>
            </w:r>
          </w:p>
        </w:tc>
        <w:tc>
          <w:tcPr>
            <w:tcW w:w="365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1.制定减少商品过度包装监管工作实施方案，并有效执行；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2.每月至少开展一次过度包装专项治理。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609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2" w:type="pct"/>
            <w:vMerge w:val="continue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普遍推行“光盘行动”</w:t>
            </w:r>
          </w:p>
        </w:tc>
        <w:tc>
          <w:tcPr>
            <w:tcW w:w="365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1.督促公共机构严格落实反食品浪费法有关规定，普遍推行“光盘行动”；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2.采取有效措施，指导督促餐饮行业落实反食品浪费法，广泛开展“光盘行动”宣传，引导消费者适量消费。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镇级各部门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96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落实“限塑令”有关要求，制定限制一次性用品使用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365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1"/>
                <w:szCs w:val="21"/>
              </w:rPr>
              <w:t>1.制定塑料污染治理工作方案，并有效执行；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1"/>
                <w:szCs w:val="21"/>
              </w:rPr>
              <w:t>取有效措施，在旅游、住宿、餐饮等场所、禁止或者限制一次性塑料制品生产、销售和利用，不主动提供一次性用品；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3.公示一次性用品目录清单，并对发现违反有关规定行为及时制止或查处。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新建绿色建筑占新建建筑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365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新建绿色建筑占新建建筑的百分比。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2024年4月20日前，保持长效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农业固体废物源头减量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1、采取有效措施，推动农业固体废物源头减量；2、推广应用高效低毒低残留农药，减少农药包装物等有害垃圾产生量；3、规范农膜、肥料等农业投入品包装管理，从源头控制和减少“白色污染”。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供销合作社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供销合作社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2024年4月20日前，保持长效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生活垃圾分类覆盖率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按照相关要求，辖区生活垃圾分类达到“三有”（设施设备、宣传氛围、长效机制）标准。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相关单位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2024年4月20日前，保持长效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39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行政村生活垃圾分类覆盖率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自然村（院落）生活垃圾分类覆盖率≥95%；2、生活垃圾分类收集点（亭、房、站）设置符合要求；3、生活垃圾分类收运设施设备完好；4、生活垃圾分类收运设施设备干净整洁；5、生活垃圾分类标志标识符合要求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2024年4月30日前，保持长效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生活垃圾分类投放（收集）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设施升级改造率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结合辖区实际，所有生活垃圾分类投放（收集）设施完成升级改造，安装具有遮雨、照明、洗手、除臭等功能的便利化、精细化、人性化等便民设施。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财政办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2024年4月30日前，保持长效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生活垃圾分类投放、收运处置设施设备完好率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生活垃圾分类投放、收运处置设施设备及时维护，保证设施设备完好整洁。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按照《生活垃圾分类标准》（GB/T19095）标准和要求，辖区内生活垃圾分类标志标识统一齐全、正确无误、清晰醒目。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城市生活垃圾分类准确率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1.建立健全生活垃圾分类桶边指导制度；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2.早晚投放高峰期集中投放点有桶边值守督导；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3.生活垃圾分类准确率≥80%。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行政村生活垃圾分类准确率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加强宣传培训；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建立健全桶边值守、指导制度；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3、生活垃圾分类准确率≥80%。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悦心憩园公司文化站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各类垃圾规范运输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1.从事生活垃圾经营性清扫、收集、运输和处理的单位，应依法取得相应许可证；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  <w:t>2.运输车辆应标明所收运生活垃圾的类别，并做到密闭运输，不混装、冒装，无抛洒滴漏现象。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城镇生活垃圾焚烧占比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建成区其他垃圾焚烧量占其他垃圾无害化处理量的百分比。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城市厨余垃圾分出率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1.加强宣传动员，引导居民依法从家庭源头做好“干湿”分类；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2.按照相关标准和要求，指导督促物业服务企业对未分类的生活垃圾进行二次细分，并分类运输；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3.厨余垃圾（含餐厨、果蔬和家庭厨余垃圾）占生活垃圾总量的三分之一。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秸秆综合利用率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&gt;90%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采取有效措施，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</w:rPr>
              <w:t>大力推广秸秆饲料化、基料化、燃料化、原料化，肥料化，提高秸秆综合利用率。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农膜回收率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</w:rPr>
              <w:t>1、设置农膜回收站点；2、有专门机构或人员负责；3、规范台账、有回收利用制度、有统一标牌（农膜回收站）等；4、农膜回收点待处置的废旧地膜应打捆堆放，不得有随风飘移或随雨水冲走现象，不得随意填埋或焚烧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供销合作社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供销合作社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  <w:t>开展农村有机废弃物协同处置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采取有效措施，推进农村有机废物的协调处置。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全面推广新型智能建筑垃圾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运输车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采取有效措施，全面推广新型智能建筑垃圾运输车。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w w:val="98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w w:val="98"/>
                <w:sz w:val="21"/>
                <w:szCs w:val="21"/>
              </w:rPr>
              <w:t>新能源作业车辆占比逐年加大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新能源作业车辆占比逐年加大。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735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建筑垃圾分类投放、收运和处置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1.设置建筑垃圾（装修垃圾和拆除垃圾）临时堆放点，引导居民定点投放；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2.收运单位应具备相应运输资质，处置设施建设符合要求，做到运力充足、运行稳定。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53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工业危险废物利用处置率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≥98%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采取有效措施，推进工业企业绿色转型，推动重点行业工业固体废物产生强度下降，实现大宗工业固体废物贮存处置总量趋零增长。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辖区工业企业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88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城镇医疗废物无害化处置率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辖区医疗废物无害化处置率达到100%。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社事办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金溪镇卫生院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619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垃圾资源化回收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利用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城市生活垃圾回收利用率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≥45%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城市建成区内可回收物和厨余垃圾收运量占生活垃圾（不含有害垃圾）收运量的百分比。计算方式：生活垃圾回收利用率=（厨余垃圾+可回收物）/（厨余垃圾+可回收物+其他垃圾）*100%。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悦心憩园公司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畜禽粪污资源化利用率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畜禽粪污资源化利用是否符合要求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农业服务中心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7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建筑垃圾资源化利用率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≥50%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1.建筑垃圾主要包括装修垃圾和拆除垃圾；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2.采取有效措施，建筑垃圾资源化利用率达到50%以上。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95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大宗工业固体废物资源化利用率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&gt;75%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</w:rPr>
              <w:t>采取有效措施，推动废钢铁、废有色金属、废塑料、废旧轮胎、废纸、废旧动力电池等再生资源综合利用行业规范管理。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93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≥10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1.“两网融合”是指实现生活源再生资源与其他类别生活垃圾的统一分类交售、分类收运和资源化利用的网点数量；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2.按照相关标准和要求，全区81个社区各打造1个。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垃圾资源化回收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利用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再生资源回收网点覆盖率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达标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1.按照每个物业小区设置一个的标准，规范建设94个再生资源“两网融合”回收点，每个网点面积不得低于30㎡；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2.每个网点设计制作统一名称，悬挂规章制度，公示相关信息，接受市民监督；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3.回收网点室内应分区分类有序摆放、堆码整齐、围挡遮盖，不得在居民小区、公共场所占道堆放、分拣、晾晒，更不得焚烧废品污染周围环境。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  <w:t>再生资源回收利用及加工企业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辖区内建有再生资源回收利用及加工企业。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  <w:t>“互联网＋回收”智能化平台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辖区内打造集信息、交易、结算为一体的“互联网＋回收”智能化平台。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数字化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垃圾分类信息化系统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将垃圾分类治理纳入城市信息模型平台，实行垃圾分类治理可追踪、可溯源、可执法。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垃圾计量信息系统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充分运用垃圾计量信息系统，做到准确、齐全。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污染物排放和环境质量实时监测系统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充分运用污染物排放和环境质量实时监测系统。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规建办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9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1.建立健全党建引领垃圾分类工作机制；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2.建立区、街、社区三级联动机制；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3.基层党组织定期开展实地查看、研究分析本行业、本辖区垃圾分类治理工作；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4.组织发动社区党员、干部带头参与垃圾分类，不定期组织联动会议，协调推进垃圾分类治理工作。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党群办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推动网格员参与垃圾分类桶边值守。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创建成功的垃圾分类先锋街道占比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否决性指标。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创建成功的垃圾分类先锋社区占比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否决性指标。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创建成功的垃圾分类先锋小区占比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否决性指标。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92" w:type="pct"/>
            <w:vMerge w:val="continue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创建成功的垃圾分类先锋单位占比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否决性指标。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66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92" w:type="pct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1.定期组织开展敲门入户宣传，社区每周、单位每月组织开展一次主题宣传、培训动员活动；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2.制作海报、墙标、插牌、横幅、视频等标识牌，并通过LED视频广泛宣传垃圾分类相关知识和政策法规；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3.开展垃圾分类宣传进社区、进家庭、进学校、进机关、进军营、进企业、进酒店、进商超、进窗口“九进”活动，提高市民知晓率。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相关职能科室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77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1.小区居民签订生活垃圾分类承诺书比例达到居民户数90%以上；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2.单位员工签订生活垃圾分类承诺书比例达到100%。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各村（社区）相关部门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4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每季度开展“进家庭”“进门店”宣传全覆盖。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  <w:lang w:eastAsia="zh-CN"/>
              </w:rPr>
              <w:t>各（村）社区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相关部门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87" w:hRule="atLeast"/>
          <w:jc w:val="center"/>
        </w:trPr>
        <w:tc>
          <w:tcPr>
            <w:tcW w:w="178" w:type="pct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居民（村民）满意度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加大垃圾分类“双改”工作力度，进一步改造分类设施，改善投放环境，及时更换维修破损脏污分类集污容器，确保集中投放点设施规范，周边环境干净整洁。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悦心憩园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81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9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5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sz w:val="21"/>
                <w:szCs w:val="21"/>
              </w:rPr>
              <w:t>垃圾分类“进社区”“进机关”等“九进”活动开展有效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1.社区/社会单位按照要求每周/每月组织开展一次垃圾分类“进社区、进家庭、进学校、进机关、进军营、进企业、进酒店、进商超、进窗口”宣传；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2.社区每周组织开展一次再生资源有偿回收“赶场日”活动，进一步提高居民参与率。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各村（社区）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37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垃圾分类“进校园”“进课堂”“进教材”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1.建立青少年志愿服务队伍；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2.组建本教育系统生活垃圾分类指导员队伍；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3.编印幼儿园、小学、中学垃圾分类知识读本，将生活垃圾分类纳入课堂教学内容。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金溪中心校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92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责任体系健全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1.成立领导小组，明确党政一把手为垃圾分类治理主要负责人；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2.党政一把手每月开展一次实地督导检查垃圾分类，并研究垃圾分类治理工作。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垃圾分类治理机制完善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1.垃圾分类日常管理机制健全，专人负责垃圾分类治理工作；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2.检查督促部门联动情况，相关职能部门和各街道督促单位和个人依法参与垃圾分类。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2024年3月20日前，保持长效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按照相关标准和要求，街道、社区、小区、单位分别配备专（兼）职分类指导，专人专事负责垃圾分类工作。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w w:val="95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w w:val="95"/>
                <w:sz w:val="21"/>
                <w:szCs w:val="21"/>
              </w:rPr>
              <w:t>常态化开展垃圾分类督促指导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1.建立工作实施方案、制定检查考核评价标准，完善协调工作机制，细化年（月）度工作目标，常态长效开展垃圾分类指导监督；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2.依法查处各类垃圾投放、收集、运输、处置等环节的违法行为；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3.定期反馈督导情况，督促问题整改到位。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92" w:type="pct"/>
            <w:vMerge w:val="restart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资金长效保障机制，财政资金使用合规有效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建立资金长效保障机制，财政资金使用合规有效。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财政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财政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1.本单位垃圾分类基本情况概述（如居民/员工人数、责任分工、分类设施配置情况等）；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2.生活垃圾分类工作实施方案；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3.单位签订的责任书、居民/员工签订的承诺书；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4.四分类日收运基础台账、有害垃圾移交表等；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5.分类指导员日巡查记录；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6.清扫收集运输公司经营许可证；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7.检查指导、培训动员、清洗设施、巡查翻桶等简报或图片；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8.集中用餐区张榜公示本单位生活垃圾日分类量；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9.资料齐全、填写规范、分类整理、保管妥善、随时查阅。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先锋创建单元、先锋创建细胞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1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9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1"/>
                <w:szCs w:val="21"/>
              </w:rPr>
              <w:t>常态化开展垃圾分类监管执法</w:t>
            </w:r>
          </w:p>
        </w:tc>
        <w:tc>
          <w:tcPr>
            <w:tcW w:w="36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5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1.制定生活垃圾分类专项执法工作方案，落实专人，组建执法队伍；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2.每周在辖区组织开展生活垃圾分类普法宣传、监管执法，实现月度全覆盖；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3.每月联合辖区公安、市场监管等部门，分别开展一次以上收运车辆、餐饮门店生活垃圾分类专项执法检查。</w:t>
            </w:r>
          </w:p>
        </w:tc>
        <w:tc>
          <w:tcPr>
            <w:tcW w:w="62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乡建中心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平安办</w:t>
            </w:r>
          </w:p>
        </w:tc>
        <w:tc>
          <w:tcPr>
            <w:tcW w:w="52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执法大队</w:t>
            </w:r>
          </w:p>
        </w:tc>
        <w:tc>
          <w:tcPr>
            <w:tcW w:w="59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2024年2月28日前，保持长效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重庆市黔江区垃圾分类先锋街道（乡镇）创建评价指标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08"/>
        <w:gridCol w:w="2550"/>
        <w:gridCol w:w="5364"/>
        <w:gridCol w:w="2324"/>
        <w:gridCol w:w="29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tblHeader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37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人均生活垃圾产生量逐年下降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引导辖区居民低碳出行、绿色办公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减少商品过度包装措施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普遍推行“光盘行动”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限制一次性用品使用措施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落实“限塑令”要求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农业固体废物源头减量管控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建成区生活垃圾分类覆盖率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行政村生活垃圾分类覆盖率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5"/>
              <w:ind w:left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生活垃圾分类收运处置设施设备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建成区生活垃圾分类准确率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行政村生活垃圾分类准确率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建成区厨余垃圾分出率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w w:val="95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行政村厨余垃圾就近就地处置率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秸秆综合利用率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农膜回收率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建筑垃圾运输和处置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工业危险废物收运利用处置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城镇医疗废物收运处置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≥2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落实垃圾资源化利用措施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畜禽粪污资源化利用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创建成功的垃圾分类先锋社区（行政村）占比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≥75%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否决性指标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居民（村民）满意度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垃圾分类“进社区”“进机关”等“九进”活动开展有效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垃圾分类“进校园”“进课堂”“进教材”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14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责任清晰明确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垃圾分类机制完善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资金保障长效充足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exact"/>
          <w:jc w:val="center"/>
        </w:trPr>
        <w:tc>
          <w:tcPr>
            <w:tcW w:w="29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14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常态化开展垃圾分类执法和监管</w:t>
            </w:r>
          </w:p>
        </w:tc>
        <w:tc>
          <w:tcPr>
            <w:tcW w:w="83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重庆市黔江区垃圾分类先锋社区创建评价指标</w:t>
      </w:r>
    </w:p>
    <w:tbl>
      <w:tblPr>
        <w:tblStyle w:val="9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544"/>
        <w:gridCol w:w="5358"/>
        <w:gridCol w:w="2338"/>
        <w:gridCol w:w="29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33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引导辖区居民低碳出行、绿色办公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落实限制一次性用品使用措施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垃圾分类收运体系建设和管理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辖区生活垃圾分类覆盖率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生活垃圾分类收集点（亭、房、站）设置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生活垃圾分类收运设施设备完好率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生活垃圾分类收运设施设备干净整洁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辖区生活垃圾分类准确率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辖区厨余垃圾分出率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桶边值守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楼层撤桶率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大件垃圾分类收运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建筑垃圾分类收运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指装修垃圾和拆除垃圾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医疗废物规范暂存、收运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创建成功的垃圾分类先锋小区（单位）占比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≥85%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否决性指标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健全垃圾分类指导员制度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推行垃圾分类志愿者服务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推行“门前三包”“五长制”和“一员多岗”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实行垃圾分类“红黑榜”管理制度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居民满意度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2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12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2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83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0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附件4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重庆市黔江区垃圾分类先锋行政村创建评价指标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586"/>
        <w:gridCol w:w="5325"/>
        <w:gridCol w:w="2307"/>
        <w:gridCol w:w="29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36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厨余垃圾采取就地就近资源化处置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农家乐、民宿等经营场所减少一次性用品使用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农业固体废物源头减量管控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垃圾分类收运体系建设和管理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自然村（院落）生活垃圾分类覆盖率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生活垃圾分类收集点（亭、房、站）设置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生活垃圾分类收运设施设备完备、完好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生活垃圾分类收运设施设备干净整洁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规范建设或提标改造厨余垃圾处置设施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大件垃圾规范收运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秸秆综合利用率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＞90%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农膜回收率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医疗废物规范暂存、收运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畜禽粪污资源化利用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将生活垃圾分类相关要求纳入村规民约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实行垃圾分类“红黑榜”“积分制”管理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将垃圾分类纳入“最美院落”评选和“传统村落”建设等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健全垃圾分类指导员制度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“一员多岗”和公益性岗位参与垃圾分类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积极开展垃圾分类模范庭院建设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村民满意度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27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9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27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09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827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3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附件5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重庆市黔江区垃圾分类先锋小区创建评价指标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597"/>
        <w:gridCol w:w="5350"/>
        <w:gridCol w:w="2301"/>
        <w:gridCol w:w="29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Header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49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1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引导居民绿色低碳生活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垃圾分类投放收运设施建设和管理</w:t>
            </w: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生活垃圾分类投放收集点（亭、房、站）设置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生活垃圾分类投放设施设备完好率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生活垃圾分类投放、收运设施设备干净整洁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小区厨余垃圾分出率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桶边值守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楼层撤桶率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大件垃圾分类投放、收运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建筑垃圾分类投放、收运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指装修垃圾和拆除垃圾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3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小区管理</w:t>
            </w: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履行生活垃圾管理责任人责任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业主大会、业主委员会和物业企业协调推进垃圾分类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落实垃圾分类指导员制度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推行“一员多岗”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垃圾分类纳入居民公约和业主委员会章程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广泛开展垃圾分类模范家庭评选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实行垃圾分类“红黑榜”管理制度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3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3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1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居民满意度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附件6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重庆市黔江区垃圾分类先锋单位创建评价指标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09"/>
        <w:gridCol w:w="5238"/>
        <w:gridCol w:w="2301"/>
        <w:gridCol w:w="29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49" w:type="pct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引导员工绿色办公、低碳出行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限制一次性用品使用措施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落实“限塑令”要求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减少商品过度包装措施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推动产生大宗工业固废行业绿色转型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用于生产企业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垃圾分类投放收运处置设施建设和管理</w:t>
            </w: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生活垃圾分类投放收集点（亭、房、站）设置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各类垃圾分类投放、收运设施设备完好率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各类垃圾分类投放、收运设施设备干净整洁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各类垃圾标志标识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大件垃圾分类投放、收运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工业固废、医疗废物和建筑垃圾等分类投放、收运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7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垃圾分类投放收运处置设施建设和管理</w:t>
            </w: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大宗工业固废资源化利用率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＞75%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用于产生单位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危险废物（医疗废物）和工业废物规范暂存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用于产生单位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各类垃圾规范运输处置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7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单位管理</w:t>
            </w: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履行生活垃圾管理责任人责任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落实垃圾分类指导员制度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垃圾分类收运处置经费充足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1" w:type="pct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员工满意度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4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1" w:type="pct"/>
            <w:vMerge w:val="continue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落实垃圾分类“进校园”“进课堂”“进教材”</w:t>
            </w:r>
          </w:p>
        </w:tc>
        <w:tc>
          <w:tcPr>
            <w:tcW w:w="825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042" w:type="pc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用于学校评估</w:t>
            </w:r>
          </w:p>
        </w:tc>
      </w:tr>
    </w:tbl>
    <w:p>
      <w:pPr>
        <w:pStyle w:val="2"/>
        <w:rPr>
          <w:rFonts w:hint="default"/>
        </w:rPr>
      </w:pPr>
    </w:p>
    <w:sectPr>
      <w:pgSz w:w="16838" w:h="11906" w:orient="landscape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mVlMmI3MzI1Yjc4YWE2M2VjMzI3N2M2NDI3ZWIifQ=="/>
  </w:docVars>
  <w:rsids>
    <w:rsidRoot w:val="00000000"/>
    <w:rsid w:val="007A6C81"/>
    <w:rsid w:val="03150882"/>
    <w:rsid w:val="03FB1766"/>
    <w:rsid w:val="05380AB8"/>
    <w:rsid w:val="08427CF9"/>
    <w:rsid w:val="08796FD6"/>
    <w:rsid w:val="14184CAE"/>
    <w:rsid w:val="17C6761B"/>
    <w:rsid w:val="1BE875A3"/>
    <w:rsid w:val="1EDB1A02"/>
    <w:rsid w:val="20E66D87"/>
    <w:rsid w:val="2DB476A8"/>
    <w:rsid w:val="334B5B1C"/>
    <w:rsid w:val="33A07F6E"/>
    <w:rsid w:val="38DB6114"/>
    <w:rsid w:val="399E33D6"/>
    <w:rsid w:val="39B66564"/>
    <w:rsid w:val="3A6C58A7"/>
    <w:rsid w:val="3AD13C8D"/>
    <w:rsid w:val="3CEF5FCB"/>
    <w:rsid w:val="3D2C63DF"/>
    <w:rsid w:val="413C1B1F"/>
    <w:rsid w:val="46164FE6"/>
    <w:rsid w:val="4AD8632C"/>
    <w:rsid w:val="4C9D70E9"/>
    <w:rsid w:val="4F734876"/>
    <w:rsid w:val="58551F5E"/>
    <w:rsid w:val="5D4705FD"/>
    <w:rsid w:val="5D57017F"/>
    <w:rsid w:val="5E3778D6"/>
    <w:rsid w:val="65A01F56"/>
    <w:rsid w:val="66BF7F33"/>
    <w:rsid w:val="6ACF2E50"/>
    <w:rsid w:val="6B0431C7"/>
    <w:rsid w:val="703E409A"/>
    <w:rsid w:val="717179A6"/>
    <w:rsid w:val="744F1CB3"/>
    <w:rsid w:val="76426A32"/>
    <w:rsid w:val="780F458E"/>
    <w:rsid w:val="79363521"/>
    <w:rsid w:val="7B407452"/>
    <w:rsid w:val="7C736635"/>
    <w:rsid w:val="7D6E7260"/>
    <w:rsid w:val="7EB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autoRedefine/>
    <w:qFormat/>
    <w:uiPriority w:val="0"/>
    <w:pPr>
      <w:keepNext/>
      <w:keepLines/>
      <w:spacing w:before="280" w:after="290" w:line="376" w:lineRule="auto"/>
    </w:pPr>
    <w:rPr>
      <w:rFonts w:ascii="Cambria" w:hAnsi="Cambria"/>
      <w:sz w:val="28"/>
      <w:szCs w:val="28"/>
    </w:rPr>
  </w:style>
  <w:style w:type="paragraph" w:styleId="4">
    <w:name w:val="Body Text"/>
    <w:basedOn w:val="1"/>
    <w:autoRedefine/>
    <w:unhideWhenUsed/>
    <w:qFormat/>
    <w:uiPriority w:val="0"/>
    <w:pPr>
      <w:spacing w:after="120"/>
    </w:pPr>
    <w:rPr>
      <w:rFonts w:hint="eastAsia"/>
      <w:sz w:val="24"/>
    </w:rPr>
  </w:style>
  <w:style w:type="paragraph" w:styleId="5">
    <w:name w:val="toc 3"/>
    <w:basedOn w:val="1"/>
    <w:next w:val="1"/>
    <w:autoRedefine/>
    <w:qFormat/>
    <w:uiPriority w:val="0"/>
    <w:pPr>
      <w:wordWrap w:val="0"/>
      <w:ind w:left="1193"/>
    </w:pPr>
    <w:rPr>
      <w:rFonts w:ascii="宋体" w:eastAsia="宋体" w:cs="Times New Roman"/>
      <w:lang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2024-03-05T01:55:00Z</dcterms:created>
  <dc:creator>Administrator</dc:creator>
  <cp:lastModifiedBy>Cat</cp:lastModifiedBy>
  <cp:lastPrinted>2024-03-07T09:21:00Z</cp:lastPrinted>
  <dcterms:modified xsi:type="dcterms:W3CDTF">2024-05-08T01:56:35Z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3A81A6F2E8E443ED949F8A96E4BA39DF_12</vt:lpwstr>
  </property>
</Properties>
</file>