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br w:type="textWrapping"/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ascii="方正仿宋_GBK" w:hAnsi="方正仿宋_GBK" w:eastAsia="方正仿宋_GBK" w:cs="方正仿宋_GBK"/>
          <w:spacing w:val="0"/>
          <w:sz w:val="31"/>
          <w:szCs w:val="31"/>
        </w:rPr>
        <w:t>白石府发〔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〕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42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ascii="方正小标宋_GBK" w:hAnsi="方正小标宋_GBK" w:eastAsia="方正小标宋_GBK" w:cs="方正小标宋_GBK"/>
          <w:spacing w:val="0"/>
          <w:sz w:val="43"/>
          <w:szCs w:val="43"/>
        </w:rPr>
        <w:t>黔江区白石镇人民政府</w:t>
      </w: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关于印发《黔江区白石镇人民政府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2021年政务服务工作要点》的通知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各村（居）委，各办、站、所、中心、大队，辖区各相关单位：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现将《黔江区白石镇人民政府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年政务服务工作要点》印发给你们，请结合实际认真贯彻落实。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right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黔江区白石镇人民政府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right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月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6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黔江区白石镇人民政府2021年政务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服务工作要点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ascii="方正黑体_GBK" w:hAnsi="方正黑体_GBK" w:eastAsia="方正黑体_GBK" w:cs="方正黑体_GBK"/>
          <w:spacing w:val="0"/>
          <w:sz w:val="31"/>
          <w:szCs w:val="31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以习近平新时代中国特色社会主义思想为指导，深入贯彻党的十九大和十九届二中、三中、四中、五中全会精神，全面落实国、市、区深化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放管服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改革优化营商环境会议部署，以政务服务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质量提升年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为目标定位，坚持以人民为中心的发展思想，坚持问题导向，积极探索创新，着力固根基、补短板、创示范，持续优环节、减材料、压时限、降成本，推进政务服务标准化、规范化、便利化，全面推动事项应上尽上、渠道一网通达、线上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一网通办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、线下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一窗综办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，让企业和群众办事更高效、体验更愉快，助推经济社会高质量发展。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</w:rPr>
        <w:t>二、重点任务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ascii="方正楷体_GBK" w:hAnsi="方正楷体_GBK" w:eastAsia="方正楷体_GBK" w:cs="方正楷体_GBK"/>
          <w:spacing w:val="0"/>
          <w:sz w:val="31"/>
          <w:szCs w:val="31"/>
        </w:rPr>
        <w:t>（一）持续优化网上政务服务效能。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按照全市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渝快办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平台服务支撑能力建设，推动镇公共服务中心流程图的绘制，方便企业群众在线预约、就近办事。强化政务服务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好差评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系统的规范管理，严格落实受理、转办、调查整改、结果反馈、用户评议等工作流程，形成评价、反馈、改进、监督、考核全流程闭环，实现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好差评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主动评价数据全量归集，差评整改率、回访率达到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100%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；加强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好差评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数据综合分析应用，推动政务服务效能不断提升。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（二）有序推进政务服务体系建设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。推动镇公共服务中心、村（社区）便民服务中心标准化规范化建设，统一名称、统一标识，保障必需的办公场所、人员和设施设备。加强窗口工作人员业务培训，提高服务意识和能力。依申请类政务服务事项，按照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应进必进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原则，进驻镇公共服务中心办理。推进高频政务服务事项办理向基层延伸，扩大镇、村（社区）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就近办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事项比例。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（三）着力推动公共服务利民便民。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大力推广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黔江政务通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掌上办事大厅，积极引导群众通过线上渠道申请办理政务服务事项，着力提高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黔江政务通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掌上办事大厅覆盖率，提升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渝快办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平台用户使用度。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黑体_GBK" w:hAnsi="方正黑体_GBK" w:eastAsia="方正黑体_GBK" w:cs="方正黑体_GBK"/>
          <w:spacing w:val="0"/>
          <w:sz w:val="31"/>
          <w:szCs w:val="31"/>
        </w:rPr>
        <w:t>三、保障措施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（一）强化组织保障。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成立以政府主要领导任组长、分管领导及其他班子成员任副组长，各科室负责人及各村（社区）两委主要负责人为成员的政务服务工作领导小组，制定印发《黔江区白石镇人民政府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年政务服务工作要点》，进一步明确任务、细化措施、落实责任，强化政务服务工作人、财、物保障，严格落实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一人分管、一科受理、多科室协同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工作机制，持续巩固深化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三集中三到位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工作成效，选派素质高、能力强、业务精湛的人员进驻服务窗口，确保独立履行职责。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（二）强化制度保障。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认真落实《重庆市政务服务管理办法》，及时修订或废止不符合最新改革精神的政策文件。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（三）强化学习交流。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加强与区行政服务中心、全区政务服务干部职工业务交流和共同学习；加强镇级公共服务中心、村（社区）便民服务中心业务工作人员的培训与指导，不断提高工作人员的服务意识与服务能力。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（四）强化宣传推广。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各办、站、所、中心、大队，各村（社区）要采取发放宣传单、进村入户走访、召开座谈会、面对面讲解等方式宣传网上办理流程，强化政务服务工作宣传力度，解答群众咨询疑问，不断提升群众的知晓度，让群众办事更加精准化、智能化，切实便民惠民，不断提升群众的满意度和获得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楷体_GBK" w:hAnsi="方正楷体_GBK" w:eastAsia="方正楷体_GBK" w:cs="方正楷体_GBK"/>
          <w:spacing w:val="0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Style w:val="4"/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年政务服务工作任务分解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00"/>
        <w:jc w:val="center"/>
      </w:pPr>
      <w:r>
        <w:rPr>
          <w:rFonts w:hint="default" w:ascii="Times New Roman" w:hAnsi="Times New Roman" w:cs="Times New Roman"/>
          <w:sz w:val="30"/>
          <w:szCs w:val="30"/>
        </w:rPr>
        <w:t> </w:t>
      </w:r>
    </w:p>
    <w:tbl>
      <w:tblPr>
        <w:tblW w:w="8453" w:type="dxa"/>
        <w:jc w:val="center"/>
        <w:tblInd w:w="2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441"/>
        <w:gridCol w:w="3483"/>
        <w:gridCol w:w="991"/>
        <w:gridCol w:w="1309"/>
        <w:gridCol w:w="122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重点任务</w:t>
            </w:r>
          </w:p>
        </w:tc>
        <w:tc>
          <w:tcPr>
            <w:tcW w:w="348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600"/>
              <w:jc w:val="center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具体工作</w:t>
            </w:r>
          </w:p>
        </w:tc>
        <w:tc>
          <w:tcPr>
            <w:tcW w:w="99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牵头单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 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位</w:t>
            </w:r>
          </w:p>
        </w:tc>
        <w:tc>
          <w:tcPr>
            <w:tcW w:w="130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配合单位</w:t>
            </w:r>
          </w:p>
        </w:tc>
        <w:tc>
          <w:tcPr>
            <w:tcW w:w="12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完成时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 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4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（一）持续优化网上政务服务效能</w:t>
            </w: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按照全市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渝快办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平台服务支撑能力建设，推动镇公共服务中心流程图的绘制，方便企业群众在线预约、就近办事。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持续推进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4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强化政务服务“好差评”系统的规范管理，严格落实受理、转办、调查整改、结果反馈、用户评议等工作流程，形成评价、反馈、改进、监督、考核全流程闭环，实现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好差评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主动评价数据全量归集，差评整改率、回访率达到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100%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；加强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好差评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数据综合分析应用，推动政务服务效能不断提升。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持续推进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4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（二）有序推进政务服务体系建设</w:t>
            </w: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推动镇公共服务中心、村（社区）便民服务中心标准化规范化建设，统一名称、统一服务中心标识，保障必需的办公场所、人员和设施设备。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0"/>
                <w:sz w:val="30"/>
                <w:szCs w:val="30"/>
                <w:bdr w:val="none" w:color="auto" w:sz="0" w:space="0"/>
              </w:rPr>
              <w:t>31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685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加强窗口工作人员业务培训，提高服务意识和能力。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持续推进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4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依申请类政务服务事项，按照“应进必进”原则，进驻镇公共服务中心办理。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持续推进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4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推进高频政务服务事项办理向基层延伸，扩大镇、村（社区）“就近办”事项比例。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持续推进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45" w:hRule="atLeast"/>
          <w:jc w:val="center"/>
        </w:trPr>
        <w:tc>
          <w:tcPr>
            <w:tcW w:w="144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（三）着力推动公共服务利民便民</w:t>
            </w:r>
          </w:p>
        </w:tc>
        <w:tc>
          <w:tcPr>
            <w:tcW w:w="34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大力推广“黔江政务通”掌上办事大厅，积极引导企业和群众通过线上渠道申请办理政务服务事项，着力提高“黔江政务通”掌上办事大厅覆盖率，提升“渝快办”平台用户使用度。</w:t>
            </w:r>
          </w:p>
        </w:tc>
        <w:tc>
          <w:tcPr>
            <w:tcW w:w="9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党政办</w:t>
            </w:r>
          </w:p>
        </w:tc>
        <w:tc>
          <w:tcPr>
            <w:tcW w:w="13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各办、站、所、中心、大队</w:t>
            </w:r>
          </w:p>
        </w:tc>
        <w:tc>
          <w:tcPr>
            <w:tcW w:w="12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30"/>
                <w:szCs w:val="30"/>
                <w:bdr w:val="none" w:color="auto" w:sz="0" w:space="0"/>
              </w:rPr>
              <w:t>持续推进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B7B"/>
    <w:rsid w:val="08693A73"/>
    <w:rsid w:val="145D5B7B"/>
    <w:rsid w:val="28952AF8"/>
    <w:rsid w:val="29AD6C8E"/>
    <w:rsid w:val="316C6146"/>
    <w:rsid w:val="33893159"/>
    <w:rsid w:val="50781003"/>
    <w:rsid w:val="50A26858"/>
    <w:rsid w:val="53913B25"/>
    <w:rsid w:val="57B922BE"/>
    <w:rsid w:val="70F8021F"/>
    <w:rsid w:val="7E6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2023-06-30T05:59:00Z</dcterms:created>
  <dc:creator>汐陽1408247246</dc:creator>
  <cp:lastModifiedBy>汐陽1408247246</cp:lastModifiedBy>
  <dcterms:modified xsi:type="dcterms:W3CDTF">2023-06-30T07:12:04Z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