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2E3" w:rsidRDefault="001642E3" w:rsidP="001642E3">
      <w:pPr>
        <w:widowControl/>
        <w:spacing w:line="594" w:lineRule="exact"/>
        <w:textAlignment w:val="baseline"/>
        <w:rPr>
          <w:rFonts w:eastAsia="方正黑体_GBK" w:cs="方正黑体_GBK" w:hint="eastAsia"/>
          <w:sz w:val="32"/>
          <w:szCs w:val="32"/>
        </w:rPr>
      </w:pPr>
      <w:r>
        <w:rPr>
          <w:rFonts w:eastAsia="方正黑体_GBK" w:cs="方正黑体_GBK" w:hint="eastAsia"/>
          <w:sz w:val="32"/>
          <w:szCs w:val="32"/>
        </w:rPr>
        <w:t>附件</w:t>
      </w:r>
      <w:r>
        <w:rPr>
          <w:rFonts w:eastAsia="方正黑体_GBK" w:cs="方正黑体_GBK" w:hint="eastAsia"/>
          <w:sz w:val="32"/>
          <w:szCs w:val="32"/>
        </w:rPr>
        <w:t>1</w:t>
      </w:r>
    </w:p>
    <w:p w:rsidR="001642E3" w:rsidRDefault="001642E3" w:rsidP="001642E3">
      <w:pPr>
        <w:widowControl/>
        <w:spacing w:line="594" w:lineRule="exact"/>
        <w:jc w:val="center"/>
        <w:textAlignment w:val="baseline"/>
        <w:rPr>
          <w:rFonts w:eastAsia="方正小标宋_GBK" w:cs="方正小标宋_GBK" w:hint="eastAsia"/>
          <w:sz w:val="44"/>
          <w:szCs w:val="44"/>
        </w:rPr>
      </w:pPr>
    </w:p>
    <w:p w:rsidR="001642E3" w:rsidRDefault="001642E3" w:rsidP="001642E3">
      <w:pPr>
        <w:widowControl/>
        <w:spacing w:line="594" w:lineRule="exact"/>
        <w:jc w:val="center"/>
        <w:textAlignment w:val="baseline"/>
        <w:rPr>
          <w:rFonts w:eastAsia="方正小标宋_GBK" w:cs="方正小标宋_GBK" w:hint="eastAsia"/>
          <w:sz w:val="44"/>
          <w:szCs w:val="44"/>
        </w:rPr>
      </w:pPr>
      <w:r>
        <w:rPr>
          <w:rFonts w:eastAsia="方正小标宋_GBK" w:cs="方正小标宋_GBK" w:hint="eastAsia"/>
          <w:sz w:val="44"/>
          <w:szCs w:val="44"/>
        </w:rPr>
        <w:t>《黔江区高层次人才激励办法（试行）》</w:t>
      </w:r>
    </w:p>
    <w:p w:rsidR="001642E3" w:rsidRDefault="001642E3" w:rsidP="001642E3">
      <w:pPr>
        <w:widowControl/>
        <w:spacing w:line="594" w:lineRule="exact"/>
        <w:jc w:val="center"/>
        <w:textAlignment w:val="baseline"/>
        <w:rPr>
          <w:rFonts w:eastAsia="方正小标宋_GBK" w:cs="方正小标宋_GBK"/>
          <w:b/>
          <w:bCs/>
          <w:sz w:val="44"/>
          <w:szCs w:val="44"/>
        </w:rPr>
      </w:pPr>
      <w:r>
        <w:rPr>
          <w:rFonts w:eastAsia="方正小标宋_GBK" w:cs="方正小标宋_GBK" w:hint="eastAsia"/>
          <w:sz w:val="44"/>
          <w:szCs w:val="44"/>
        </w:rPr>
        <w:t>引进人才分类目录</w:t>
      </w:r>
    </w:p>
    <w:p w:rsidR="001642E3" w:rsidRDefault="001642E3" w:rsidP="001642E3">
      <w:pPr>
        <w:spacing w:line="594" w:lineRule="exact"/>
        <w:ind w:firstLineChars="200" w:firstLine="640"/>
        <w:rPr>
          <w:rFonts w:eastAsia="方正仿宋_GBK" w:hint="eastAsia"/>
          <w:sz w:val="32"/>
          <w:szCs w:val="32"/>
        </w:rPr>
      </w:pPr>
    </w:p>
    <w:p w:rsidR="001642E3" w:rsidRDefault="001642E3" w:rsidP="001642E3">
      <w:pPr>
        <w:spacing w:line="594" w:lineRule="exact"/>
        <w:ind w:firstLineChars="200" w:firstLine="640"/>
        <w:rPr>
          <w:rFonts w:eastAsia="方正楷体_GBK" w:cs="方正楷体_GBK" w:hint="eastAsia"/>
          <w:bCs/>
          <w:sz w:val="32"/>
          <w:szCs w:val="32"/>
        </w:rPr>
      </w:pPr>
      <w:r>
        <w:rPr>
          <w:rFonts w:eastAsia="方正楷体_GBK" w:cs="方正楷体_GBK" w:hint="eastAsia"/>
          <w:bCs/>
          <w:sz w:val="32"/>
          <w:szCs w:val="32"/>
        </w:rPr>
        <w:t>第一类：</w:t>
      </w:r>
    </w:p>
    <w:p w:rsidR="001642E3" w:rsidRDefault="001642E3" w:rsidP="001642E3">
      <w:pPr>
        <w:spacing w:line="594" w:lineRule="exact"/>
        <w:ind w:firstLineChars="200" w:firstLine="640"/>
        <w:rPr>
          <w:rFonts w:eastAsia="方正楷体_GBK" w:cs="方正楷体_GBK" w:hint="eastAsia"/>
          <w:bCs/>
          <w:sz w:val="32"/>
          <w:szCs w:val="32"/>
        </w:rPr>
      </w:pPr>
      <w:r>
        <w:rPr>
          <w:rFonts w:eastAsia="方正仿宋_GBK" w:cs="方正仿宋_GBK" w:hint="eastAsia"/>
          <w:sz w:val="32"/>
          <w:szCs w:val="32"/>
        </w:rPr>
        <w:t>“重庆英才服务卡</w:t>
      </w:r>
      <w:r>
        <w:rPr>
          <w:rFonts w:eastAsia="方正仿宋_GBK" w:cs="方正仿宋_GBK" w:hint="eastAsia"/>
          <w:sz w:val="32"/>
          <w:szCs w:val="32"/>
        </w:rPr>
        <w:t>A</w:t>
      </w:r>
      <w:r>
        <w:rPr>
          <w:rFonts w:eastAsia="方正仿宋_GBK" w:cs="方正仿宋_GBK" w:hint="eastAsia"/>
          <w:sz w:val="32"/>
          <w:szCs w:val="32"/>
        </w:rPr>
        <w:t>卡”</w:t>
      </w:r>
      <w:r>
        <w:rPr>
          <w:rFonts w:eastAsia="方正仿宋_GBK" w:cs="方正仿宋_GBK" w:hint="eastAsia"/>
          <w:sz w:val="32"/>
          <w:szCs w:val="32"/>
        </w:rPr>
        <w:t>I</w:t>
      </w:r>
      <w:r>
        <w:rPr>
          <w:rFonts w:eastAsia="方正仿宋_GBK" w:cs="方正仿宋_GBK" w:hint="eastAsia"/>
          <w:sz w:val="32"/>
          <w:szCs w:val="32"/>
        </w:rPr>
        <w:t>类卡和</w:t>
      </w:r>
      <w:r>
        <w:rPr>
          <w:rFonts w:eastAsia="方正仿宋_GBK" w:cs="方正仿宋_GBK" w:hint="eastAsia"/>
          <w:sz w:val="32"/>
          <w:szCs w:val="32"/>
        </w:rPr>
        <w:t>II</w:t>
      </w:r>
      <w:r>
        <w:rPr>
          <w:rFonts w:eastAsia="方正仿宋_GBK" w:cs="方正仿宋_GBK" w:hint="eastAsia"/>
          <w:sz w:val="32"/>
          <w:szCs w:val="32"/>
        </w:rPr>
        <w:t>类卡服务人才。</w:t>
      </w:r>
    </w:p>
    <w:p w:rsidR="001642E3" w:rsidRDefault="001642E3" w:rsidP="001642E3">
      <w:pPr>
        <w:spacing w:line="594" w:lineRule="exact"/>
        <w:ind w:firstLineChars="200" w:firstLine="640"/>
        <w:rPr>
          <w:rFonts w:eastAsia="方正楷体_GBK" w:cs="方正楷体_GBK" w:hint="eastAsia"/>
          <w:bCs/>
          <w:sz w:val="32"/>
          <w:szCs w:val="32"/>
        </w:rPr>
      </w:pPr>
      <w:r>
        <w:rPr>
          <w:rFonts w:eastAsia="方正楷体_GBK" w:cs="方正楷体_GBK" w:hint="eastAsia"/>
          <w:bCs/>
          <w:sz w:val="32"/>
          <w:szCs w:val="32"/>
        </w:rPr>
        <w:t>第二类：</w:t>
      </w:r>
    </w:p>
    <w:p w:rsidR="001642E3" w:rsidRDefault="001642E3" w:rsidP="001642E3">
      <w:pPr>
        <w:spacing w:line="594" w:lineRule="exact"/>
        <w:ind w:firstLineChars="200" w:firstLine="640"/>
        <w:rPr>
          <w:rFonts w:eastAsia="方正仿宋_GBK" w:hint="eastAsia"/>
          <w:sz w:val="32"/>
          <w:szCs w:val="32"/>
        </w:rPr>
      </w:pPr>
      <w:r>
        <w:rPr>
          <w:rFonts w:eastAsia="方正仿宋_GBK" w:hint="eastAsia"/>
          <w:sz w:val="32"/>
          <w:szCs w:val="32"/>
        </w:rPr>
        <w:t>（一）博士学位或副高级职称及以上，且具有较高专业水平和丰富实践经验、获得过省部级及以上专业性奖励，现仍在相关专业岗位工作的人才；</w:t>
      </w:r>
    </w:p>
    <w:p w:rsidR="001642E3" w:rsidRDefault="001642E3" w:rsidP="001642E3">
      <w:pPr>
        <w:spacing w:line="594" w:lineRule="exact"/>
        <w:ind w:firstLineChars="200" w:firstLine="640"/>
        <w:rPr>
          <w:rFonts w:eastAsia="方正仿宋_GBK" w:hint="eastAsia"/>
          <w:sz w:val="32"/>
          <w:szCs w:val="32"/>
        </w:rPr>
      </w:pPr>
      <w:r>
        <w:rPr>
          <w:rFonts w:eastAsia="方正仿宋_GBK" w:hint="eastAsia"/>
          <w:sz w:val="32"/>
          <w:szCs w:val="32"/>
        </w:rPr>
        <w:t>（二）在黔江工作期间企业认定年薪在</w:t>
      </w:r>
      <w:r>
        <w:rPr>
          <w:rFonts w:eastAsia="方正仿宋_GBK" w:hint="eastAsia"/>
          <w:sz w:val="32"/>
          <w:szCs w:val="32"/>
        </w:rPr>
        <w:t>150</w:t>
      </w:r>
      <w:r>
        <w:rPr>
          <w:rFonts w:eastAsia="方正仿宋_GBK"/>
          <w:sz w:val="32"/>
          <w:szCs w:val="32"/>
        </w:rPr>
        <w:t>万元</w:t>
      </w:r>
      <w:r>
        <w:rPr>
          <w:rFonts w:eastAsia="方正仿宋_GBK" w:hint="eastAsia"/>
          <w:sz w:val="32"/>
          <w:szCs w:val="32"/>
        </w:rPr>
        <w:t>（含）人民币以上的人才；</w:t>
      </w:r>
    </w:p>
    <w:p w:rsidR="001642E3" w:rsidRDefault="001642E3" w:rsidP="001642E3">
      <w:pPr>
        <w:spacing w:line="594" w:lineRule="exact"/>
        <w:ind w:firstLineChars="200" w:firstLine="640"/>
        <w:rPr>
          <w:rFonts w:eastAsia="方正仿宋_GBK" w:hint="eastAsia"/>
          <w:sz w:val="32"/>
          <w:szCs w:val="32"/>
        </w:rPr>
      </w:pPr>
      <w:r>
        <w:rPr>
          <w:rFonts w:eastAsia="方正仿宋_GBK" w:hint="eastAsia"/>
          <w:sz w:val="32"/>
          <w:szCs w:val="32"/>
        </w:rPr>
        <w:t>（三）相当于上述层次的人才。</w:t>
      </w:r>
    </w:p>
    <w:p w:rsidR="001642E3" w:rsidRDefault="001642E3" w:rsidP="001642E3">
      <w:pPr>
        <w:spacing w:line="594" w:lineRule="exact"/>
        <w:ind w:firstLineChars="200" w:firstLine="640"/>
        <w:rPr>
          <w:rFonts w:eastAsia="方正楷体_GBK" w:cs="方正楷体_GBK" w:hint="eastAsia"/>
          <w:bCs/>
          <w:sz w:val="32"/>
          <w:szCs w:val="32"/>
        </w:rPr>
      </w:pPr>
      <w:r>
        <w:rPr>
          <w:rFonts w:eastAsia="方正楷体_GBK" w:cs="方正楷体_GBK" w:hint="eastAsia"/>
          <w:bCs/>
          <w:sz w:val="32"/>
          <w:szCs w:val="32"/>
        </w:rPr>
        <w:t>第三类：</w:t>
      </w:r>
    </w:p>
    <w:p w:rsidR="001642E3" w:rsidRDefault="001642E3" w:rsidP="001642E3">
      <w:pPr>
        <w:spacing w:line="594" w:lineRule="exact"/>
        <w:ind w:firstLineChars="200" w:firstLine="640"/>
        <w:rPr>
          <w:rFonts w:eastAsia="方正仿宋_GBK" w:hint="eastAsia"/>
          <w:sz w:val="32"/>
          <w:szCs w:val="32"/>
        </w:rPr>
      </w:pPr>
      <w:r>
        <w:rPr>
          <w:rFonts w:eastAsia="方正仿宋_GBK" w:hint="eastAsia"/>
          <w:sz w:val="32"/>
          <w:szCs w:val="32"/>
        </w:rPr>
        <w:t>（一）有知名高等院校、科研机构、金融机构、</w:t>
      </w:r>
      <w:r>
        <w:rPr>
          <w:rFonts w:eastAsia="方正仿宋_GBK"/>
          <w:sz w:val="32"/>
          <w:szCs w:val="32"/>
        </w:rPr>
        <w:t>世界</w:t>
      </w:r>
      <w:r>
        <w:rPr>
          <w:rFonts w:eastAsia="方正仿宋_GBK"/>
          <w:sz w:val="32"/>
          <w:szCs w:val="32"/>
        </w:rPr>
        <w:t>500</w:t>
      </w:r>
      <w:r>
        <w:rPr>
          <w:rFonts w:eastAsia="方正仿宋_GBK" w:hint="eastAsia"/>
          <w:sz w:val="32"/>
          <w:szCs w:val="32"/>
        </w:rPr>
        <w:t>强企业等单位工作经历，且具备主持重大项目和课题能力，现仍在相关企事业单位工作的人才；</w:t>
      </w:r>
    </w:p>
    <w:p w:rsidR="001642E3" w:rsidRDefault="001642E3" w:rsidP="001642E3">
      <w:pPr>
        <w:spacing w:line="594" w:lineRule="exact"/>
        <w:ind w:firstLineChars="200" w:firstLine="640"/>
        <w:rPr>
          <w:rFonts w:eastAsia="方正仿宋_GBK" w:hint="eastAsia"/>
          <w:sz w:val="32"/>
          <w:szCs w:val="32"/>
        </w:rPr>
      </w:pPr>
      <w:r>
        <w:rPr>
          <w:rFonts w:eastAsia="方正仿宋_GBK" w:hint="eastAsia"/>
          <w:sz w:val="32"/>
          <w:szCs w:val="32"/>
        </w:rPr>
        <w:t>（二）在黔江工作期间企业认定年薪在</w:t>
      </w:r>
      <w:r>
        <w:rPr>
          <w:rFonts w:eastAsia="方正仿宋_GBK"/>
          <w:sz w:val="32"/>
          <w:szCs w:val="32"/>
        </w:rPr>
        <w:t>100</w:t>
      </w:r>
      <w:r>
        <w:rPr>
          <w:rFonts w:eastAsia="方正仿宋_GBK"/>
          <w:sz w:val="32"/>
          <w:szCs w:val="32"/>
        </w:rPr>
        <w:t>万元</w:t>
      </w:r>
      <w:r>
        <w:rPr>
          <w:rFonts w:eastAsia="方正仿宋_GBK" w:hint="eastAsia"/>
          <w:sz w:val="32"/>
          <w:szCs w:val="32"/>
        </w:rPr>
        <w:t>（含）人民币以上不足</w:t>
      </w:r>
      <w:r>
        <w:rPr>
          <w:rFonts w:eastAsia="方正仿宋_GBK" w:hint="eastAsia"/>
          <w:sz w:val="32"/>
          <w:szCs w:val="32"/>
        </w:rPr>
        <w:t>150</w:t>
      </w:r>
      <w:r>
        <w:rPr>
          <w:rFonts w:eastAsia="方正仿宋_GBK" w:hint="eastAsia"/>
          <w:sz w:val="32"/>
          <w:szCs w:val="32"/>
        </w:rPr>
        <w:t>万元的人才；</w:t>
      </w:r>
    </w:p>
    <w:p w:rsidR="001642E3" w:rsidRDefault="001642E3" w:rsidP="001642E3">
      <w:pPr>
        <w:spacing w:line="594" w:lineRule="exact"/>
        <w:ind w:firstLineChars="200" w:firstLine="640"/>
        <w:rPr>
          <w:rFonts w:eastAsia="方正仿宋_GBK" w:hint="eastAsia"/>
          <w:sz w:val="32"/>
          <w:szCs w:val="32"/>
        </w:rPr>
      </w:pPr>
      <w:r>
        <w:rPr>
          <w:rFonts w:eastAsia="方正仿宋_GBK" w:hint="eastAsia"/>
          <w:sz w:val="32"/>
          <w:szCs w:val="32"/>
        </w:rPr>
        <w:t>（三）相当于上述层次的人才。</w:t>
      </w:r>
    </w:p>
    <w:p w:rsidR="001642E3" w:rsidRDefault="001642E3" w:rsidP="001642E3">
      <w:pPr>
        <w:spacing w:line="594" w:lineRule="exact"/>
        <w:ind w:firstLineChars="200" w:firstLine="640"/>
        <w:rPr>
          <w:rFonts w:eastAsia="方正楷体_GBK" w:cs="方正楷体_GBK" w:hint="eastAsia"/>
          <w:bCs/>
          <w:sz w:val="32"/>
          <w:szCs w:val="32"/>
        </w:rPr>
      </w:pPr>
      <w:r>
        <w:rPr>
          <w:rFonts w:eastAsia="方正楷体_GBK" w:cs="方正楷体_GBK" w:hint="eastAsia"/>
          <w:bCs/>
          <w:sz w:val="32"/>
          <w:szCs w:val="32"/>
        </w:rPr>
        <w:t>第四类：</w:t>
      </w:r>
    </w:p>
    <w:p w:rsidR="001642E3" w:rsidRDefault="001642E3" w:rsidP="001642E3">
      <w:pPr>
        <w:spacing w:line="594" w:lineRule="exact"/>
        <w:ind w:firstLineChars="200" w:firstLine="640"/>
        <w:rPr>
          <w:rFonts w:eastAsia="方正仿宋_GBK" w:hint="eastAsia"/>
          <w:sz w:val="32"/>
          <w:szCs w:val="32"/>
        </w:rPr>
      </w:pPr>
      <w:r>
        <w:rPr>
          <w:rFonts w:eastAsia="方正仿宋_GBK" w:hint="eastAsia"/>
          <w:sz w:val="32"/>
          <w:szCs w:val="32"/>
        </w:rPr>
        <w:t>（一）副高级职称及以上，且有省（自治区、直辖市）</w:t>
      </w:r>
      <w:r>
        <w:rPr>
          <w:rFonts w:eastAsia="方正仿宋_GBK" w:hint="eastAsia"/>
          <w:sz w:val="32"/>
          <w:szCs w:val="32"/>
        </w:rPr>
        <w:lastRenderedPageBreak/>
        <w:t>重点学校、三级甲等医院、县级及以上研究与开发机构等单位工作经历五年以上，掌握某行业、某领域特殊专长，现仍在相关专业岗位工作的人才；</w:t>
      </w:r>
    </w:p>
    <w:p w:rsidR="001642E3" w:rsidRDefault="001642E3" w:rsidP="001642E3">
      <w:pPr>
        <w:spacing w:line="594" w:lineRule="exact"/>
        <w:ind w:firstLineChars="200" w:firstLine="640"/>
        <w:rPr>
          <w:rFonts w:eastAsia="方正仿宋_GBK" w:hint="eastAsia"/>
          <w:sz w:val="32"/>
          <w:szCs w:val="32"/>
        </w:rPr>
      </w:pPr>
      <w:r>
        <w:rPr>
          <w:rFonts w:eastAsia="方正仿宋_GBK" w:hint="eastAsia"/>
          <w:sz w:val="32"/>
          <w:szCs w:val="32"/>
        </w:rPr>
        <w:t>（二）在黔江工作期间企业认定年薪在</w:t>
      </w:r>
      <w:r>
        <w:rPr>
          <w:rFonts w:eastAsia="方正仿宋_GBK" w:hint="eastAsia"/>
          <w:sz w:val="32"/>
          <w:szCs w:val="32"/>
        </w:rPr>
        <w:t>50</w:t>
      </w:r>
      <w:r>
        <w:rPr>
          <w:rFonts w:eastAsia="方正仿宋_GBK"/>
          <w:sz w:val="32"/>
          <w:szCs w:val="32"/>
        </w:rPr>
        <w:t>万元</w:t>
      </w:r>
      <w:r>
        <w:rPr>
          <w:rFonts w:eastAsia="方正仿宋_GBK" w:hint="eastAsia"/>
          <w:sz w:val="32"/>
          <w:szCs w:val="32"/>
        </w:rPr>
        <w:t>（含）人民币以上不足</w:t>
      </w:r>
      <w:r>
        <w:rPr>
          <w:rFonts w:eastAsia="方正仿宋_GBK" w:hint="eastAsia"/>
          <w:sz w:val="32"/>
          <w:szCs w:val="32"/>
        </w:rPr>
        <w:t>100</w:t>
      </w:r>
      <w:r>
        <w:rPr>
          <w:rFonts w:eastAsia="方正仿宋_GBK" w:hint="eastAsia"/>
          <w:sz w:val="32"/>
          <w:szCs w:val="32"/>
        </w:rPr>
        <w:t>万元的人才；</w:t>
      </w:r>
    </w:p>
    <w:p w:rsidR="001642E3" w:rsidRDefault="001642E3" w:rsidP="001642E3">
      <w:pPr>
        <w:spacing w:line="594" w:lineRule="exact"/>
        <w:ind w:firstLineChars="200" w:firstLine="640"/>
        <w:rPr>
          <w:rFonts w:eastAsia="方正仿宋_GBK" w:hint="eastAsia"/>
          <w:sz w:val="32"/>
          <w:szCs w:val="32"/>
        </w:rPr>
      </w:pPr>
      <w:r>
        <w:rPr>
          <w:rFonts w:eastAsia="方正仿宋_GBK" w:hint="eastAsia"/>
          <w:sz w:val="32"/>
          <w:szCs w:val="32"/>
        </w:rPr>
        <w:t>（三）相当于上述层次的人才。</w:t>
      </w:r>
    </w:p>
    <w:p w:rsidR="001642E3" w:rsidRDefault="001642E3" w:rsidP="001642E3">
      <w:pPr>
        <w:spacing w:line="594" w:lineRule="exact"/>
        <w:ind w:firstLineChars="200" w:firstLine="640"/>
        <w:rPr>
          <w:rFonts w:eastAsia="方正仿宋_GBK" w:hint="eastAsia"/>
          <w:sz w:val="32"/>
          <w:szCs w:val="32"/>
        </w:rPr>
      </w:pPr>
      <w:r>
        <w:rPr>
          <w:rFonts w:eastAsia="方正楷体_GBK" w:cs="方正楷体_GBK" w:hint="eastAsia"/>
          <w:bCs/>
          <w:sz w:val="32"/>
          <w:szCs w:val="32"/>
        </w:rPr>
        <w:t>第五类：</w:t>
      </w:r>
      <w:r>
        <w:rPr>
          <w:rFonts w:eastAsia="方正仿宋_GBK" w:hint="eastAsia"/>
          <w:sz w:val="32"/>
          <w:szCs w:val="32"/>
        </w:rPr>
        <w:t>在文化、艺术、体育、旅游、康养等领域具有一定影响力，并在该专业领域获得过省（自治区、直辖市）级及以上表彰或奖励，现仍从事该领域工作的中级职称及以上专业技术人才或技师等级及以上技能人才。</w:t>
      </w:r>
    </w:p>
    <w:p w:rsidR="001642E3" w:rsidRDefault="001642E3" w:rsidP="001642E3">
      <w:pPr>
        <w:spacing w:line="594" w:lineRule="exact"/>
        <w:ind w:firstLineChars="200" w:firstLine="640"/>
        <w:rPr>
          <w:rFonts w:eastAsia="方正仿宋_GBK"/>
          <w:sz w:val="32"/>
          <w:szCs w:val="32"/>
        </w:rPr>
      </w:pPr>
      <w:r>
        <w:rPr>
          <w:rFonts w:eastAsia="方正楷体_GBK" w:cs="方正楷体_GBK" w:hint="eastAsia"/>
          <w:bCs/>
          <w:sz w:val="32"/>
          <w:szCs w:val="32"/>
        </w:rPr>
        <w:t>第六类：</w:t>
      </w:r>
      <w:r>
        <w:rPr>
          <w:rFonts w:eastAsia="方正仿宋_GBK" w:hint="eastAsia"/>
          <w:sz w:val="32"/>
          <w:szCs w:val="32"/>
        </w:rPr>
        <w:t>全日制博士研究生，“世界一流大学”建设高校、“世界一流学科”建设学科或国（境）外相当层次高校、学科毕业的全日制硕士研究生。</w:t>
      </w:r>
    </w:p>
    <w:p w:rsidR="001642E3" w:rsidRDefault="001642E3" w:rsidP="001642E3">
      <w:pPr>
        <w:autoSpaceDE w:val="0"/>
        <w:autoSpaceDN w:val="0"/>
        <w:adjustRightInd w:val="0"/>
        <w:spacing w:line="594" w:lineRule="exact"/>
        <w:ind w:firstLineChars="200" w:firstLine="640"/>
        <w:jc w:val="left"/>
        <w:rPr>
          <w:rFonts w:eastAsia="方正仿宋_GBK" w:hint="eastAsia"/>
          <w:sz w:val="32"/>
          <w:szCs w:val="32"/>
        </w:rPr>
      </w:pPr>
      <w:r>
        <w:rPr>
          <w:rFonts w:eastAsia="方正仿宋_GBK" w:hint="eastAsia"/>
          <w:sz w:val="32"/>
          <w:szCs w:val="32"/>
        </w:rPr>
        <w:t>以上人才分类，根据经济社会发展适时调整。</w:t>
      </w:r>
    </w:p>
    <w:p w:rsidR="001642E3" w:rsidRDefault="001642E3" w:rsidP="001642E3">
      <w:pPr>
        <w:widowControl/>
        <w:kinsoku w:val="0"/>
        <w:autoSpaceDE w:val="0"/>
        <w:autoSpaceDN w:val="0"/>
        <w:adjustRightInd w:val="0"/>
        <w:snapToGrid w:val="0"/>
        <w:spacing w:line="594" w:lineRule="exact"/>
        <w:ind w:firstLine="28"/>
        <w:textAlignment w:val="baseline"/>
        <w:rPr>
          <w:rFonts w:eastAsia="方正黑体_GBK" w:cs="方正黑体_GBK" w:hint="eastAsia"/>
          <w:sz w:val="32"/>
          <w:szCs w:val="32"/>
        </w:rPr>
      </w:pPr>
    </w:p>
    <w:p w:rsidR="001642E3" w:rsidRDefault="001642E3" w:rsidP="001642E3">
      <w:pPr>
        <w:widowControl/>
        <w:kinsoku w:val="0"/>
        <w:autoSpaceDE w:val="0"/>
        <w:autoSpaceDN w:val="0"/>
        <w:adjustRightInd w:val="0"/>
        <w:snapToGrid w:val="0"/>
        <w:spacing w:line="594" w:lineRule="exact"/>
        <w:ind w:firstLine="28"/>
        <w:textAlignment w:val="baseline"/>
        <w:rPr>
          <w:rFonts w:eastAsia="方正黑体_GBK" w:cs="方正黑体_GBK" w:hint="eastAsia"/>
          <w:sz w:val="32"/>
          <w:szCs w:val="32"/>
        </w:rPr>
      </w:pPr>
    </w:p>
    <w:p w:rsidR="00DA4C8C" w:rsidRPr="001642E3" w:rsidRDefault="00DA4C8C"/>
    <w:sectPr w:rsidR="00DA4C8C" w:rsidRPr="001642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42E3"/>
    <w:rsid w:val="001642E3"/>
    <w:rsid w:val="00DA4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2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556</Characters>
  <Application>Microsoft Office Word</Application>
  <DocSecurity>0</DocSecurity>
  <Lines>4</Lines>
  <Paragraphs>1</Paragraphs>
  <ScaleCrop>false</ScaleCrop>
  <Company>微软中国</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陈曦璐</dc:creator>
  <cp:keywords/>
  <dc:description/>
  <cp:lastModifiedBy>陈曦璐</cp:lastModifiedBy>
  <cp:revision>2</cp:revision>
  <dcterms:created xsi:type="dcterms:W3CDTF">2023-11-29T08:04:00Z</dcterms:created>
  <dcterms:modified xsi:type="dcterms:W3CDTF">2023-11-29T08:04:00Z</dcterms:modified>
</cp:coreProperties>
</file>