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pict>
          <v:shape id="_x0000_s1028" o:spid="_x0000_s1028" o:spt="136" type="#_x0000_t136" style="position:absolute;left:0pt;margin-left:91.65pt;margin-top:18.25pt;height:52.4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黔江区民族宗教事务委员会文件" style="font-family:方正小标宋_GBK;font-size:36pt;font-weight:bold;v-rotate-letters:f;v-same-letter-heights:f;v-text-align:center;"/>
          </v:shape>
        </w:pict>
      </w:r>
    </w:p>
    <w:p>
      <w:pPr>
        <w:rPr>
          <w:rFonts w:hint="eastAsia"/>
        </w:rPr>
      </w:pPr>
    </w:p>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1095375</wp:posOffset>
                </wp:positionV>
                <wp:extent cx="5615940" cy="0"/>
                <wp:effectExtent l="0" t="10795" r="0" b="17145"/>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6.55pt;margin-top:86.25pt;height:0pt;width:442.2pt;mso-position-horizontal-relative:page;mso-position-vertical-relative:margin;z-index:251660288;mso-width-relative:page;mso-height-relative:page;" filled="f" stroked="t" coordsize="21600,21600" o:gfxdata="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6jMxjYAAAADAEAAA8AAAAAAAAAAQAgAAAAIgAA&#10;AGRycy9kb3ducmV2LnhtbFBLAQIUABQAAAAIAIdO4kBOMfvnzwEAAI4DAAAOAAAAAAAAAAEAIAAA&#10;ACcBAABkcnMvZTJvRG9jLnhtbFBLBQYAAAAABgAGAFkBAABoBQAAAAA=&#10;">
                <v:fill on="f" focussize="0,0"/>
                <v:stroke weight="1.75pt" color="#FF0000" joinstyle="round"/>
                <v:imagedata o:title=""/>
                <o:lock v:ext="edit" aspectratio="f"/>
              </v:line>
            </w:pict>
          </mc:Fallback>
        </mc:AlternateContent>
      </w:r>
    </w:p>
    <w:p>
      <w:pPr>
        <w:jc w:val="center"/>
      </w:pPr>
      <w:r>
        <w:rPr>
          <w:rFonts w:hint="eastAsia"/>
        </w:rPr>
        <w:t>黔江民宗委发〔2021〕3</w:t>
      </w:r>
      <w:r>
        <w:rPr>
          <w:rFonts w:hint="eastAsia"/>
          <w:lang w:val="en-US" w:eastAsia="zh-CN"/>
        </w:rPr>
        <w:t>6</w:t>
      </w:r>
      <w:r>
        <w:rPr>
          <w:rFonts w:hint="eastAsia"/>
        </w:rPr>
        <w:t>号</w:t>
      </w:r>
    </w:p>
    <w:p>
      <w:pPr>
        <w:keepNext w:val="0"/>
        <w:keepLines w:val="0"/>
        <w:pageBreakBefore w:val="0"/>
        <w:widowControl w:val="0"/>
        <w:kinsoku/>
        <w:wordWrap/>
        <w:overflowPunct/>
        <w:topLinePunct w:val="0"/>
        <w:autoSpaceDE/>
        <w:autoSpaceDN/>
        <w:bidi w:val="0"/>
        <w:adjustRightIn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eastAsia="方正小标宋_GBK"/>
          <w:sz w:val="44"/>
          <w:szCs w:val="44"/>
          <w:lang w:eastAsia="zh-CN"/>
        </w:rPr>
      </w:pPr>
      <w:r>
        <w:rPr>
          <w:rFonts w:hint="eastAsia" w:eastAsia="方正小标宋_GBK"/>
          <w:sz w:val="44"/>
          <w:szCs w:val="44"/>
          <w:lang w:eastAsia="zh-CN"/>
        </w:rPr>
        <w:t>重庆市黔江区民族宗教事务委员会</w:t>
      </w: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eastAsia="方正小标宋_GBK"/>
          <w:sz w:val="44"/>
          <w:szCs w:val="44"/>
        </w:rPr>
      </w:pPr>
      <w:r>
        <w:rPr>
          <w:rFonts w:hint="eastAsia" w:eastAsia="方正小标宋_GBK"/>
          <w:sz w:val="44"/>
          <w:szCs w:val="44"/>
          <w:lang w:eastAsia="zh-CN"/>
        </w:rPr>
        <w:t>关于转发《</w:t>
      </w:r>
      <w:r>
        <w:rPr>
          <w:rFonts w:hint="eastAsia" w:eastAsia="方正小标宋_GBK"/>
          <w:sz w:val="44"/>
          <w:szCs w:val="44"/>
        </w:rPr>
        <w:t>重庆市人民政府办公厅关于贯彻落实国家标准化发展纲要的实施意见</w:t>
      </w:r>
      <w:r>
        <w:rPr>
          <w:rFonts w:hint="eastAsia" w:eastAsia="方正小标宋_GBK"/>
          <w:sz w:val="44"/>
          <w:szCs w:val="44"/>
          <w:lang w:eastAsia="zh-CN"/>
        </w:rPr>
        <w:t>》的通知</w:t>
      </w:r>
    </w:p>
    <w:p>
      <w:pPr>
        <w:rPr>
          <w:rFonts w:hint="eastAsia"/>
        </w:rPr>
      </w:pPr>
    </w:p>
    <w:p>
      <w:pPr>
        <w:rPr>
          <w:rFonts w:hint="eastAsia"/>
        </w:rPr>
      </w:pPr>
      <w:r>
        <w:rPr>
          <w:rFonts w:hint="eastAsia"/>
          <w:lang w:eastAsia="zh-CN"/>
        </w:rPr>
        <w:t>机关各、科、室、所</w:t>
      </w:r>
      <w:r>
        <w:rPr>
          <w:rFonts w:hint="eastAsia"/>
        </w:rPr>
        <w:t>：</w:t>
      </w:r>
    </w:p>
    <w:p>
      <w:pPr>
        <w:ind w:firstLine="631"/>
        <w:rPr>
          <w:rFonts w:hint="eastAsia"/>
          <w:lang w:val="en-US" w:eastAsia="zh-CN"/>
        </w:rPr>
      </w:pPr>
      <w:r>
        <w:rPr>
          <w:rFonts w:hint="eastAsia"/>
          <w:lang w:val="en-US" w:eastAsia="zh-CN"/>
        </w:rPr>
        <w:t>现将《重庆市人民政府办公厅关于贯彻落实国家标准化发展纲要的实施意见》（渝府办发〔2021〕143号）转发给你们，请遵照执行。</w:t>
      </w:r>
    </w:p>
    <w:p>
      <w:pPr>
        <w:rPr>
          <w:rFonts w:hint="default"/>
          <w:lang w:val="en-US" w:eastAsia="zh-CN"/>
        </w:rPr>
      </w:pPr>
    </w:p>
    <w:p>
      <w:pPr>
        <w:spacing w:line="594" w:lineRule="atLeast"/>
        <w:ind w:firstLine="3160" w:firstLineChars="1000"/>
        <w:rPr>
          <w:rFonts w:hint="eastAsia" w:ascii="方正仿宋_GBK" w:eastAsia="方正仿宋_GBK" w:cs="方正仿宋_GBK"/>
          <w:sz w:val="32"/>
          <w:szCs w:val="32"/>
        </w:rPr>
      </w:pPr>
    </w:p>
    <w:p>
      <w:pPr>
        <w:spacing w:line="594" w:lineRule="atLeast"/>
        <w:ind w:firstLine="4108" w:firstLineChars="1300"/>
        <w:rPr>
          <w:rFonts w:ascii="方正仿宋_GBK" w:eastAsia="方正仿宋_GBK"/>
          <w:sz w:val="32"/>
          <w:szCs w:val="32"/>
        </w:rPr>
      </w:pPr>
      <w:r>
        <w:rPr>
          <w:rFonts w:hint="eastAsia" w:ascii="方正仿宋_GBK" w:eastAsia="方正仿宋_GBK" w:cs="方正仿宋_GBK"/>
          <w:sz w:val="32"/>
          <w:szCs w:val="32"/>
        </w:rPr>
        <w:t xml:space="preserve">重庆市黔江区民族宗教事务委员会  </w:t>
      </w:r>
    </w:p>
    <w:p>
      <w:pPr>
        <w:spacing w:line="594" w:lineRule="atLeast"/>
        <w:ind w:firstLine="5372" w:firstLineChars="1700"/>
        <w:rPr>
          <w:rFonts w:hint="eastAsia" w:eastAsia="方正仿宋_GBK" w:cs="方正仿宋_GBK"/>
          <w:sz w:val="32"/>
          <w:szCs w:val="32"/>
        </w:rPr>
      </w:pPr>
      <w:r>
        <w:rPr>
          <w:rFonts w:eastAsia="方正仿宋_GBK"/>
          <w:sz w:val="32"/>
          <w:szCs w:val="32"/>
        </w:rPr>
        <w:t>20</w:t>
      </w:r>
      <w:r>
        <w:rPr>
          <w:rFonts w:hint="eastAsia" w:eastAsia="方正仿宋_GBK"/>
          <w:sz w:val="32"/>
          <w:szCs w:val="32"/>
        </w:rPr>
        <w:t>21</w:t>
      </w:r>
      <w:r>
        <w:rPr>
          <w:rFonts w:hint="eastAsia" w:eastAsia="方正仿宋_GBK" w:cs="方正仿宋_GBK"/>
          <w:sz w:val="32"/>
          <w:szCs w:val="32"/>
        </w:rPr>
        <w:t>年</w:t>
      </w:r>
      <w:r>
        <w:rPr>
          <w:rFonts w:hint="eastAsia" w:cs="方正仿宋_GBK"/>
          <w:sz w:val="32"/>
          <w:szCs w:val="32"/>
          <w:lang w:val="en-US" w:eastAsia="zh-CN"/>
        </w:rPr>
        <w:t>12</w:t>
      </w:r>
      <w:r>
        <w:rPr>
          <w:rFonts w:hint="eastAsia" w:eastAsia="方正仿宋_GBK" w:cs="方正仿宋_GBK"/>
          <w:sz w:val="32"/>
          <w:szCs w:val="32"/>
        </w:rPr>
        <w:t>月</w:t>
      </w:r>
      <w:r>
        <w:rPr>
          <w:rFonts w:hint="eastAsia" w:eastAsia="方正仿宋_GBK"/>
          <w:sz w:val="32"/>
          <w:szCs w:val="32"/>
        </w:rPr>
        <w:t>2</w:t>
      </w:r>
      <w:r>
        <w:rPr>
          <w:rFonts w:hint="eastAsia"/>
          <w:sz w:val="32"/>
          <w:szCs w:val="32"/>
          <w:lang w:val="en-US" w:eastAsia="zh-CN"/>
        </w:rPr>
        <w:t>3</w:t>
      </w:r>
      <w:r>
        <w:rPr>
          <w:rFonts w:hint="eastAsia" w:eastAsia="方正仿宋_GBK" w:cs="方正仿宋_GBK"/>
          <w:sz w:val="32"/>
          <w:szCs w:val="32"/>
        </w:rPr>
        <w:t>日</w:t>
      </w:r>
    </w:p>
    <w:p>
      <w:pPr>
        <w:pStyle w:val="2"/>
        <w:rPr>
          <w:rFonts w:hint="eastAsia" w:eastAsia="方正仿宋_GBK"/>
          <w:b w:val="0"/>
          <w:bCs w:val="0"/>
          <w:lang w:eastAsia="zh-CN"/>
        </w:rPr>
      </w:pPr>
      <w:r>
        <w:rPr>
          <w:rFonts w:hint="eastAsia" w:eastAsia="方正仿宋_GBK" w:cs="方正仿宋_GBK"/>
          <w:b w:val="0"/>
          <w:bCs w:val="0"/>
          <w:sz w:val="32"/>
          <w:szCs w:val="32"/>
          <w:lang w:eastAsia="zh-CN"/>
        </w:rPr>
        <w:t>（此件公开发布）</w:t>
      </w:r>
    </w:p>
    <w:p>
      <w:pPr>
        <w:ind w:firstLine="631"/>
        <w:rPr>
          <w:rFonts w:hint="default"/>
          <w:lang w:val="en-US" w:eastAsia="zh-CN"/>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关于贯彻落实国家标准化发展纲要的实施意见</w:t>
      </w:r>
    </w:p>
    <w:p>
      <w:pPr>
        <w:pStyle w:val="2"/>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渝府办发〔2021〕143号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p>
    <w:p>
      <w:pPr>
        <w:rPr>
          <w:rFonts w:hint="eastAsia"/>
        </w:rPr>
      </w:pPr>
      <w:r>
        <w:rPr>
          <w:rFonts w:hint="eastAsia"/>
        </w:rPr>
        <w:t>各区县（自治县）人民政府，市政府各部门，有关单位：</w:t>
      </w:r>
    </w:p>
    <w:p>
      <w:pPr>
        <w:ind w:firstLine="632" w:firstLineChars="200"/>
        <w:rPr>
          <w:rFonts w:hint="eastAsia"/>
        </w:rPr>
      </w:pPr>
      <w:r>
        <w:rPr>
          <w:rFonts w:hint="eastAsia"/>
        </w:rPr>
        <w:t>为统筹推进我市标准化发展，根据《国家标准化发展纲要》和《重庆市国民经济和社会发展第十四个五年规划和二○三五年远景目标纲要》等文件精神，经市政府同意，现就贯彻落实《国家标准化发展纲要》提出如下实施意见。</w:t>
      </w:r>
    </w:p>
    <w:p>
      <w:pPr>
        <w:ind w:firstLine="632" w:firstLineChars="200"/>
        <w:rPr>
          <w:rFonts w:hint="eastAsia" w:eastAsia="方正黑体_GBK"/>
        </w:rPr>
      </w:pPr>
      <w:r>
        <w:rPr>
          <w:rFonts w:hint="eastAsia" w:eastAsia="方正黑体_GBK"/>
        </w:rPr>
        <w:t>一、总体要求</w:t>
      </w:r>
    </w:p>
    <w:p>
      <w:pPr>
        <w:ind w:firstLine="632" w:firstLineChars="200"/>
        <w:rPr>
          <w:rFonts w:hint="eastAsia" w:eastAsia="方正楷体_GBK"/>
        </w:rPr>
      </w:pPr>
      <w:r>
        <w:rPr>
          <w:rFonts w:hint="eastAsia" w:eastAsia="方正楷体_GBK"/>
        </w:rPr>
        <w:t>（一）指导思想。</w:t>
      </w:r>
    </w:p>
    <w:p>
      <w:pPr>
        <w:ind w:firstLine="632" w:firstLineChars="200"/>
        <w:rPr>
          <w:rFonts w:hint="eastAsia"/>
        </w:rPr>
      </w:pPr>
      <w:r>
        <w:rPr>
          <w:rFonts w:hint="eastAsia"/>
        </w:rPr>
        <w:t>以习近平新时代中国特色社会主义思想为指导，深入贯彻党的十九大和十九届二中、三中、四中、五中、六中全会精神，全面落实习近平总书记对重庆提出的营造良好政治生态，坚持“两点”定位、“两地”“两高”目标，发挥“三个作用”和推动成渝地区双城经济圈建设等重要指示要求，持续实施标准化战略，推进标准化工作改革创新发展，加快建立推动高质量发展的标准体系，助力建设高标准市场体系，提升标准国际化水平，以高标准引领高质量发展，为建设经济强、百姓富、生态美、文化兴的现代化重庆提供有力支撑。</w:t>
      </w:r>
    </w:p>
    <w:p>
      <w:pPr>
        <w:ind w:firstLine="632" w:firstLineChars="200"/>
        <w:rPr>
          <w:rFonts w:hint="eastAsia" w:eastAsia="方正楷体_GBK"/>
        </w:rPr>
      </w:pPr>
      <w:r>
        <w:rPr>
          <w:rFonts w:hint="eastAsia" w:eastAsia="方正楷体_GBK"/>
        </w:rPr>
        <w:t>（二）发展目标。</w:t>
      </w:r>
    </w:p>
    <w:p>
      <w:pPr>
        <w:ind w:firstLine="632" w:firstLineChars="200"/>
        <w:rPr>
          <w:rFonts w:hint="eastAsia"/>
        </w:rPr>
      </w:pPr>
      <w:r>
        <w:rPr>
          <w:rFonts w:hint="eastAsia"/>
        </w:rPr>
        <w:t>到2025年，实现标准供给由政府主导向政府与市场并重转变，标准运用由产业与贸易为主向经济社会全域转变，标准化工作由国内驱动向国内国际相互促进转变，标准化发展由数量规模型向质量效益型转变，全市标准制定水平、实施水平、监管水平明显提高，政府主导制定标准与市场自主制定标准协同推动高质量发展的新型标准体系基本形成，全市标准化总体水平达到内陆领先水平，标准化发展基础进一步夯实，标准对经济社会发展的促进作用显著发挥。</w:t>
      </w:r>
    </w:p>
    <w:p>
      <w:pPr>
        <w:ind w:firstLine="632" w:firstLineChars="200"/>
        <w:rPr>
          <w:rFonts w:hint="eastAsia"/>
        </w:rPr>
      </w:pPr>
      <w:r>
        <w:rPr>
          <w:rFonts w:hint="eastAsia"/>
        </w:rPr>
        <w:t>——全域标准化深度融合发展。农业、工业、服务业和社会事业等领域标准全覆盖，强制性标准守底线、推荐性标准保基本、市场标准强质量的作用充分发挥，战略性新兴产业标准先导地位凸显，健康、安全、环境标准支撑有力，农业标准化普及率稳步提升，标准化试点示范效能充分释放，创新引领、技术先进、经济合理的地方标准体系基本建立。</w:t>
      </w:r>
    </w:p>
    <w:p>
      <w:pPr>
        <w:ind w:firstLine="632" w:firstLineChars="200"/>
        <w:rPr>
          <w:rFonts w:hint="eastAsia"/>
        </w:rPr>
      </w:pPr>
      <w:r>
        <w:rPr>
          <w:rFonts w:hint="eastAsia"/>
        </w:rPr>
        <w:t>——标准化质量水平大幅提升。共性关键技术和应用类科技计划项目形成标准研究成果的比率达到50%以上，地方标准平均制定周期缩短至18个月以内，标准数字化程度不断提高，培育一批研制先进标准的企业和机构。标准化支撑国家重要先进制造业中心、西部金融中心、中西部国际交往中心和内陆开放高地建设作用显著增强。</w:t>
      </w:r>
    </w:p>
    <w:p>
      <w:pPr>
        <w:ind w:firstLine="632" w:firstLineChars="200"/>
        <w:rPr>
          <w:rFonts w:hint="eastAsia"/>
        </w:rPr>
      </w:pPr>
      <w:r>
        <w:rPr>
          <w:rFonts w:hint="eastAsia"/>
        </w:rPr>
        <w:t>——标准化开放程度明显增强。积极融入共建“一带一路”、新时代西部大开发和长江经济带、成渝地区双城经济圈、西部陆海新通道建设，推动发挥好区位优势、产业优势、技术优势，更好服务全市“一区两群”协调发展。积极参与国际国内标准化活动，培育、发展和推动我市优势、特色技术标准成为国际标准、国家标准，抢占标准“话语权”。</w:t>
      </w:r>
    </w:p>
    <w:p>
      <w:pPr>
        <w:ind w:firstLine="632" w:firstLineChars="200"/>
        <w:rPr>
          <w:rFonts w:hint="eastAsia"/>
        </w:rPr>
      </w:pPr>
      <w:r>
        <w:rPr>
          <w:rFonts w:hint="eastAsia"/>
        </w:rPr>
        <w:t>——标准化发展基础更加牢固。优化标准化协调机制，加强制度设计和统筹管理。发展壮大一批专业水平高、市场竞争力强的标准化服务机构，形成标准、计量、认证认可、检验检测一体化运行的国家质量基础设施体系，标准化服务业基本适应经济社会发展需要。扩大标准化专家库，标准化从业人员数量稳步提升。</w:t>
      </w:r>
    </w:p>
    <w:p>
      <w:pPr>
        <w:ind w:firstLine="632" w:firstLineChars="200"/>
        <w:rPr>
          <w:rFonts w:hint="eastAsia"/>
        </w:rPr>
      </w:pPr>
      <w:r>
        <w:rPr>
          <w:rFonts w:hint="eastAsia"/>
        </w:rPr>
        <w:t>到2025年，新增参与制定（修订）国际标准10项以上，新增参与制定（修订）国家标准、行业标准500项以上，新发布地方标准500项以上，新自我声明公开企业产品和服务标准10000项以上，新培育发展团体标准300项以上，新建设标准化试点示范项目50个以上，新成立市级专业标准化技术委员会10个以上，争创全国标准创新贡献奖5项。</w:t>
      </w:r>
    </w:p>
    <w:p>
      <w:pPr>
        <w:ind w:firstLine="632" w:firstLineChars="200"/>
        <w:rPr>
          <w:rFonts w:hint="eastAsia"/>
        </w:rPr>
      </w:pPr>
      <w:r>
        <w:rPr>
          <w:rFonts w:hint="eastAsia"/>
        </w:rPr>
        <w:t>到2035年，市场驱动、政府引导、企业主体、社会参与、开放融合的标准化格局全面形成，标准化有力促进创新、协调、绿色、开放和共享发展，成为助力高技术创新、促进高水平开放、引领高质量发展的重要力量。</w:t>
      </w:r>
    </w:p>
    <w:p>
      <w:pPr>
        <w:ind w:firstLine="632" w:firstLineChars="200"/>
        <w:rPr>
          <w:rFonts w:hint="eastAsia" w:eastAsia="方正黑体_GBK"/>
        </w:rPr>
      </w:pPr>
      <w:r>
        <w:rPr>
          <w:rFonts w:hint="eastAsia" w:eastAsia="方正黑体_GBK"/>
        </w:rPr>
        <w:t>二、主要任务</w:t>
      </w:r>
    </w:p>
    <w:p>
      <w:pPr>
        <w:ind w:firstLine="632" w:firstLineChars="200"/>
        <w:rPr>
          <w:rFonts w:hint="eastAsia" w:eastAsia="方正楷体_GBK"/>
        </w:rPr>
      </w:pPr>
      <w:r>
        <w:rPr>
          <w:rFonts w:hint="eastAsia" w:eastAsia="方正楷体_GBK"/>
        </w:rPr>
        <w:t>（一）推动标准化与科技创新互动发展。</w:t>
      </w:r>
    </w:p>
    <w:p>
      <w:pPr>
        <w:ind w:firstLine="632" w:firstLineChars="200"/>
        <w:rPr>
          <w:rFonts w:hint="eastAsia"/>
        </w:rPr>
      </w:pPr>
      <w:r>
        <w:rPr>
          <w:rFonts w:hint="eastAsia"/>
        </w:rPr>
        <w:t>1．以科技创新提升标准水平。积极探索标准引领产业发展、围绕创新成果进行创业等模式，持续实施科技标准产业与联盟同步发展促进行动，及时将先进适用的科技创新成果融入标准，提升标准技术水平。鼓励我市优势、特色技术转化为国际标准、国家标准或行业标准。支持在重要行业、战略性新兴产业、关键共性技术等领域利用自主创新技术制定团体标准、企业标准。鼓励社会团体、企业制定高于推荐性标准相关技术要求的团体标准、企业标准。将经济效益显著、具有创新性和引领示范作用的标准纳入我市科学技术奖励评奖范围，激发全社会标准化创新活力，促进重庆成为更多重大科技成果诞生地和全国重要的创新策源地。</w:t>
      </w:r>
      <w:r>
        <w:rPr>
          <w:rFonts w:hint="eastAsia" w:eastAsia="方正楷体_GBK"/>
        </w:rPr>
        <w:t>（市科技局、市经济信息委、市市场监管局等按职责分工负责）</w:t>
      </w:r>
    </w:p>
    <w:p>
      <w:pPr>
        <w:ind w:firstLine="632" w:firstLineChars="200"/>
        <w:rPr>
          <w:rFonts w:hint="eastAsia" w:eastAsia="方正楷体_GBK"/>
        </w:rPr>
      </w:pPr>
      <w:r>
        <w:rPr>
          <w:rFonts w:hint="eastAsia"/>
        </w:rPr>
        <w:t>2．推动科技成果转化为标准。完善科技成果转化为标准的评价机制和服务体系，推进技术经理人、科技成果评价服务等标准化工作。完善地方标准化指导性技术文件制度，拓宽科技成果标准化渠道。提高军民标准通用化水平。支持企业参评中国标准创新贡献奖，形成一批掌握国内外标准、自主知识产权的优势产业。将标准研制融入共性技术平台建设，缩短新技术、新工艺、新材料、新方法标准研制周期。（</w:t>
      </w:r>
      <w:r>
        <w:rPr>
          <w:rFonts w:hint="eastAsia" w:eastAsia="方正楷体_GBK"/>
        </w:rPr>
        <w:t>市国防科工办、市科技局、市市场监管局、市知识产权局等按职责分工负责）</w:t>
      </w:r>
    </w:p>
    <w:p>
      <w:pPr>
        <w:ind w:firstLine="632" w:firstLineChars="200"/>
        <w:rPr>
          <w:rFonts w:hint="eastAsia" w:eastAsia="方正楷体_GBK"/>
        </w:rPr>
      </w:pPr>
      <w:r>
        <w:rPr>
          <w:rFonts w:hint="eastAsia" w:eastAsia="方正楷体_GBK"/>
        </w:rPr>
        <w:t>（二）标准化助推智能制造高质量发展。</w:t>
      </w:r>
    </w:p>
    <w:p>
      <w:pPr>
        <w:ind w:firstLine="632" w:firstLineChars="200"/>
        <w:rPr>
          <w:rFonts w:hint="eastAsia" w:eastAsia="方正楷体_GBK"/>
        </w:rPr>
      </w:pPr>
      <w:r>
        <w:rPr>
          <w:rFonts w:hint="eastAsia"/>
        </w:rPr>
        <w:t>3．筑牢产业标准化发展基础。深入开展标准助力质量提升行动，聚焦重点产业链，推进关键共性技术和核心基础零部件（元器件）、关键基础材料、工业基础软件、先进基础工艺等基础领域标准化，提升产业链供应链现代化水平，培育具有国际竞争力的先进制造业集群。推动电子、汽车摩托车、装备制造、消费品、原材料等支柱产业标准化，建立健全智能制造、绿色制造、服务型制造标准，形成产业优化升级的标准群。加强战略性新兴产业标准化路线图研究，研制一批技术自主、应用带动的新标准，推广新技术、新产品、新模式。在新材料、生物技术、绿色环保等应用前景广阔的技术领域，加强标准研制与产业推广，加快新技术产业化步伐。健全完善新能源汽车和智能汽车标准体系，加强电池、电机、电控等核心部件技术标准创新研发。</w:t>
      </w:r>
      <w:r>
        <w:rPr>
          <w:rFonts w:hint="eastAsia" w:eastAsia="方正楷体_GBK"/>
        </w:rPr>
        <w:t>（市科技局、市经济信息委、市市场监管局等按职责分工负责）</w:t>
      </w:r>
    </w:p>
    <w:p>
      <w:pPr>
        <w:ind w:firstLine="632" w:firstLineChars="200"/>
        <w:rPr>
          <w:rFonts w:hint="eastAsia" w:eastAsia="方正楷体_GBK"/>
        </w:rPr>
      </w:pPr>
      <w:r>
        <w:rPr>
          <w:rFonts w:hint="eastAsia"/>
        </w:rPr>
        <w:t>4．推进大数据智能化标准化建设。在量子信息、生命健康、高端装备、空天科技等前沿领域，加强标准攻关。研究建立芯片、软件、整机、系统、信息服务等集成电路产业标准体系，推动产业变革。推进区块链、人工智能、物联网、云计算等领域标准化，以“互联网+”标准化提升专业化水平，推进国家新一代人工智能创新发展试验区建设。建立健全政府数据管理与开放共享标准体系，推进政府数据和社会数据整合应用的标准体系建设。围绕智慧政务、智慧农业、智慧医疗、智慧交通、智慧城管、智慧监管等领域需求，加快大数据标准化建设，助推“智造重镇”“智慧名城”建设。积极参与数字领域国际规则和标准制定，支撑数字经济发展，服务打造国家数字经济创新发展试验区。</w:t>
      </w:r>
      <w:r>
        <w:rPr>
          <w:rFonts w:hint="eastAsia" w:eastAsia="方正楷体_GBK"/>
        </w:rPr>
        <w:t>（市科技局、市经济信息委、市城市管理局、市交通局、市农业农村委、市卫生健康委、市市场监管局、市大数据发展局等按职责分工负责）</w:t>
      </w:r>
    </w:p>
    <w:p>
      <w:pPr>
        <w:ind w:firstLine="632" w:firstLineChars="200"/>
        <w:rPr>
          <w:rFonts w:hint="eastAsia" w:eastAsia="方正楷体_GBK"/>
        </w:rPr>
      </w:pPr>
      <w:r>
        <w:rPr>
          <w:rFonts w:hint="eastAsia" w:eastAsia="方正楷体_GBK"/>
        </w:rPr>
        <w:t>（三）完善绿色发展标准化保障。</w:t>
      </w:r>
    </w:p>
    <w:p>
      <w:pPr>
        <w:ind w:firstLine="632" w:firstLineChars="200"/>
        <w:rPr>
          <w:rFonts w:hint="eastAsia" w:eastAsia="方正楷体_GBK"/>
        </w:rPr>
      </w:pPr>
      <w:r>
        <w:rPr>
          <w:rFonts w:hint="eastAsia"/>
        </w:rPr>
        <w:t>5．加强碳达峰、碳中和标准化支撑。积极参与国家碳达峰、碳中和标准化提升工程，健全支撑碳达峰、碳中和目标的标准体系。推动实施地区、行业、企业、产品等碳排放核查核算标准。加快节能标准更新升级，提升工业、建筑、交通、公共机构等重点领域能耗限额要求，扩大能耗限额标准覆盖范围。严格执行国家重点行业和产品温室气体排放标准，制定地方节能低碳技术规范和标准，推行低碳产品标准标识制度。</w:t>
      </w:r>
      <w:r>
        <w:rPr>
          <w:rFonts w:hint="eastAsia" w:eastAsia="方正楷体_GBK"/>
        </w:rPr>
        <w:t>（市发展改革委、市经济信息委、市生态环境局、市住房城乡建委、市交通局、市市场监管局、市机关事务局等按职责分工负责）</w:t>
      </w:r>
    </w:p>
    <w:p>
      <w:pPr>
        <w:ind w:firstLine="632" w:firstLineChars="200"/>
        <w:rPr>
          <w:rFonts w:hint="eastAsia" w:eastAsia="方正楷体_GBK"/>
        </w:rPr>
      </w:pPr>
      <w:r>
        <w:rPr>
          <w:rFonts w:hint="eastAsia"/>
        </w:rPr>
        <w:t>6．持续优化“山清水秀美丽之地”生态环境标准。加强“无废城市”标准化建设。推进环保、土地、水利、林业、能源、气象、矿产资源和地质环境保护等标准体系建设，制定（修订）污染物排放、环境监测方法等标准，提高节水、节地、节材、节矿标准，持续改进生态环境质量，促进长江上游重要生态屏障建设，美化“两江四岸”国际山水都市风貌。</w:t>
      </w:r>
      <w:r>
        <w:rPr>
          <w:rFonts w:hint="eastAsia" w:eastAsia="方正楷体_GBK"/>
        </w:rPr>
        <w:t>（市发展改革委、市规划自然资源局、市生态环境局、市水利局、市市场监管局、市能源局、市林业局、市气象局等按职责分工负责）</w:t>
      </w:r>
    </w:p>
    <w:p>
      <w:pPr>
        <w:ind w:firstLine="632" w:firstLineChars="200"/>
        <w:rPr>
          <w:rFonts w:hint="eastAsia" w:eastAsia="方正楷体_GBK"/>
        </w:rPr>
      </w:pPr>
      <w:r>
        <w:rPr>
          <w:rFonts w:hint="eastAsia"/>
        </w:rPr>
        <w:t>7．筑牢绿色生产标准基础。建立健全农业投入品使用、适度规模养殖、循环型生态农业、农产品食品安全、监测预警等绿色农业发展标准。不断完善资源循环利用、产品绿色设计、绿色包装和绿色供应链等标准。推进电解锰渣规模化综合利用技术研究，制定综合利用产品质量标准。推动建立健全绿色金融、生态旅游等绿色发展标准。推进绿色建造标准研究，构建绿色城市标准化技术支撑平台，完善绿色建造设计、施工、运维、管理标准，构建工程建设绿色标准体系。</w:t>
      </w:r>
      <w:r>
        <w:rPr>
          <w:rFonts w:hint="eastAsia" w:eastAsia="方正楷体_GBK"/>
        </w:rPr>
        <w:t>（市经济信息委、市住房城乡建委、市农业农村委、市文化旅游委、市市场监管局、人行重庆营管部等按职责分工负责）</w:t>
      </w:r>
    </w:p>
    <w:p>
      <w:pPr>
        <w:ind w:firstLine="632" w:firstLineChars="200"/>
        <w:rPr>
          <w:rFonts w:hint="eastAsia" w:eastAsia="方正楷体_GBK"/>
        </w:rPr>
      </w:pPr>
      <w:r>
        <w:rPr>
          <w:rFonts w:hint="eastAsia" w:eastAsia="方正楷体_GBK"/>
        </w:rPr>
        <w:t>（四）加快乡村振兴和社会建设标准化进程。</w:t>
      </w:r>
    </w:p>
    <w:p>
      <w:pPr>
        <w:ind w:firstLine="632" w:firstLineChars="200"/>
        <w:rPr>
          <w:rFonts w:hint="eastAsia" w:eastAsia="方正楷体_GBK"/>
        </w:rPr>
      </w:pPr>
      <w:r>
        <w:rPr>
          <w:rFonts w:hint="eastAsia"/>
        </w:rPr>
        <w:t>8．推进乡村振兴标准化建设。加快构建高标准农田建设标准体系。推进现代特色效益农业发展，加强种植业、畜牧业、水产业以及农业机械化等领域标准制定（修订），大力提升农业生产现代化、规模化、标准化水平。以粮油、蔬菜、生猪、中药材等为重点，加强农业标准化示范区建设，努力构建全要素、全链条、多层次的现代农业全产业链标准体系。大力发展“三峡农家”山地特色高效农业，联合制定“三峡”系列农产品标准，推进“巴味渝珍”特色品牌地理标志产品地方标准制定。加强农村公共服务、农村社会管理、农村生态环境保护和农村人居环境改善等标准的制定（修订），助力美丽乡村建设。建立健全适应农村电商发展的农产品质量分级、采后处理、包装配送等标准。加强公共资源配置、要素自由流动、农业转移人口市民化等领域的标准研制与应用，推进度假休闲、乡村旅游、民宿经济、传统村落保护等标准化建设，促进农村一二三产业融合发展。推动农业标准化区域与服务推广平台建设。</w:t>
      </w:r>
      <w:r>
        <w:rPr>
          <w:rFonts w:hint="eastAsia" w:eastAsia="方正楷体_GBK"/>
        </w:rPr>
        <w:t>（市农业农村委、市商务委、市文化旅游委、市市场监管局、市知识产权局等按职责分工负责）</w:t>
      </w:r>
    </w:p>
    <w:p>
      <w:pPr>
        <w:ind w:firstLine="632" w:firstLineChars="200"/>
        <w:rPr>
          <w:rFonts w:hint="eastAsia" w:eastAsia="方正楷体_GBK"/>
        </w:rPr>
      </w:pPr>
      <w:r>
        <w:rPr>
          <w:rFonts w:hint="eastAsia"/>
        </w:rPr>
        <w:t>9．推动行政管理和社会治理标准化建设。重点推进行政许可、行政执法、政务服务、政务公开、公共资源交易等领域标准制定与推广，加强电子政务、数字政府和营商环境标准化建设。推进机关事务标准化区域统筹建设试点工作。强化信用信息采集与使用、数据安全和个人信息保护、网络安全保障体系和能力建</w:t>
      </w:r>
      <w:r>
        <w:rPr>
          <w:rFonts w:hint="eastAsia"/>
          <w:spacing w:val="-4"/>
        </w:rPr>
        <w:t>设等领域标准的制定实施，全面提升数字安全水平。围绕乡村治理、网格化管理，推进各级综治中心标准化建设，推动社会治理标准化创新。（</w:t>
      </w:r>
      <w:r>
        <w:rPr>
          <w:rFonts w:hint="eastAsia" w:eastAsia="方正楷体_GBK"/>
          <w:spacing w:val="-4"/>
        </w:rPr>
        <w:t>市政府办公厅、市发展改革委、市公安局、市市场监管局、市机关事务局、市公共资源交易监管局等按职责分工负责）</w:t>
      </w:r>
    </w:p>
    <w:p>
      <w:pPr>
        <w:ind w:firstLine="632" w:firstLineChars="200"/>
        <w:rPr>
          <w:rFonts w:hint="eastAsia" w:eastAsia="方正楷体_GBK"/>
        </w:rPr>
      </w:pPr>
      <w:r>
        <w:rPr>
          <w:rFonts w:hint="eastAsia"/>
        </w:rPr>
        <w:t>10．加强高品质生活宜居地标准化工作。坚持人民至上、生命至上，推进疫情防控和公共卫生标准体系建设，推进智慧医院和疾控、妇幼保健机构标准化建设。在普及健康生活、优化健康服务、倡导健康饮食、完善健康保障、建设健康环境、发展健康产业等领域，制定广覆盖、全方位的大健康标准。围绕幼有所育、学有所教、劳有所得、病有所医、老有所养、住有所居、弱有所扶等方面，推动建立分级管理、保障适度、动态调整的基本公共服务标准体系，健全教育、文化、旅游、体育、家政、物业、食品、药品、社会保障、应急管理等领域标准，构建老年人、残疾人、退役军人服务标准化体系，打造公共服务优质、宜居宜业宜游的高品质生活圈。深入推进金融标准创新，推动国家金融科技认证中心建设。深化大城“三管”，动态完善城市综合管理标准，开展共融共通的城市综合管理标准编制，逐步构建适应超大城市治理的标准体系，不断提高规范化、标准化水平，持续提升城市品质。聚焦发展金融服务、国际商务和高端商贸，推进国际会展名城、购物美食之都标准研究，完善服务业地方标准体系，推进服务业标准化、品牌化建设，助推世界级休闲旅游胜地建设。开展社会管理和公共服务领域的标准化试点示范项目建设，总结推广成功经验。（</w:t>
      </w:r>
      <w:r>
        <w:rPr>
          <w:rFonts w:hint="eastAsia" w:eastAsia="方正楷体_GBK"/>
        </w:rPr>
        <w:t>市发展改革委、市教委、市民政局、市人力社保局、市住房城乡建委、市城市管理局、市商务委、市文化旅游委、市卫生健康委、市退役军人事务局、市应急局、市市场监管局、市体育局、市药监局、市残联、人行重庆营管部等按职责分工负责）</w:t>
      </w:r>
    </w:p>
    <w:p>
      <w:pPr>
        <w:ind w:firstLine="632" w:firstLineChars="200"/>
        <w:rPr>
          <w:rFonts w:hint="eastAsia" w:eastAsia="方正楷体_GBK"/>
        </w:rPr>
      </w:pPr>
      <w:r>
        <w:rPr>
          <w:rFonts w:hint="eastAsia" w:eastAsia="方正楷体_GBK"/>
        </w:rPr>
        <w:t>（五）强化区域协同发展标准化支撑。</w:t>
      </w:r>
    </w:p>
    <w:p>
      <w:pPr>
        <w:ind w:firstLine="632" w:firstLineChars="200"/>
        <w:rPr>
          <w:rFonts w:hint="eastAsia" w:eastAsia="方正楷体_GBK"/>
        </w:rPr>
      </w:pPr>
      <w:r>
        <w:rPr>
          <w:rFonts w:hint="eastAsia"/>
        </w:rPr>
        <w:t>11．加强成渝地区双城经济圈标准化协同发展。探索成渝地区双城经济圈区域地方标准的立项、审查、编号和批准发布程序，在交通、农业农村等领域协同研制一批共同适用的地方标准，推进标准信息和标准化人才队伍共建共享，逐步实现标准统一，促进区域一体化发展。推进高竹新区等川渝毗邻地区合作共建区域共同开展地方标准研制、标准化试点示范项目建设，打造高水平标准化合作平台。制定统一的环保标准编制技术规范，联合开展</w:t>
      </w:r>
      <w:r>
        <w:rPr>
          <w:rFonts w:hint="eastAsia"/>
          <w:spacing w:val="-4"/>
        </w:rPr>
        <w:t>现行环保标准差异分析评估，有序制定（修订）统一的大气、水、土壤以及危险废物、噪声等领域环保标准或技术规范。</w:t>
      </w:r>
      <w:r>
        <w:rPr>
          <w:rFonts w:hint="eastAsia" w:eastAsia="方正楷体_GBK"/>
          <w:spacing w:val="-4"/>
        </w:rPr>
        <w:t>（市生态环境局、市交通局、市农业农村委、市市场监管局等按职责分工负责）</w:t>
      </w:r>
    </w:p>
    <w:p>
      <w:pPr>
        <w:ind w:firstLine="632" w:firstLineChars="200"/>
        <w:rPr>
          <w:rFonts w:hint="eastAsia" w:eastAsia="方正楷体_GBK"/>
        </w:rPr>
      </w:pPr>
      <w:r>
        <w:rPr>
          <w:rFonts w:hint="eastAsia"/>
        </w:rPr>
        <w:t>12．深入开展长江经济带生态文明标准化合作。推进重庆长江经济带生态文明标准化研究中心建设，探索制定长江经济带生态文明标准体系框架，定期召开长江经济带生态文明标准化合作会议，发布生态文明标准化白皮书。加强长江流域健康、环保、基础通用等生态文明国家标准制定前期研究，提出国家标准立项建议。建立和完善长江经济带生态文明标准化实施体系和评价体系，加强标准实施情况调查、统计与分析。协同建立生态文明地方标准采信机制。</w:t>
      </w:r>
      <w:r>
        <w:rPr>
          <w:rFonts w:hint="eastAsia" w:eastAsia="方正楷体_GBK"/>
        </w:rPr>
        <w:t>（市规划自然资源局、市生态环境局、市卫生健康委、市市场监管局等按职责分工负责）</w:t>
      </w:r>
    </w:p>
    <w:p>
      <w:pPr>
        <w:ind w:firstLine="632" w:firstLineChars="200"/>
      </w:pPr>
      <w:r>
        <w:rPr>
          <w:rFonts w:hint="eastAsia"/>
        </w:rPr>
        <w:t>13．推进“一区两群”协调发展标准化。以标准化的理念和方法，推动主城都市区城市品质提升标准化，促进渝东北三峡库区城镇群生态绿色发展标准化，助力渝东南武陵山区城镇群文旅</w:t>
      </w:r>
      <w:r>
        <w:rPr>
          <w:rFonts w:hint="eastAsia"/>
          <w:spacing w:val="-4"/>
        </w:rPr>
        <w:t>融合发展标准化，因地制宜研制一批地方标准和开展一批标准化试点示范项目。加强新型城镇化标准化建设，推动开展区县（自治县）和两江新区、重庆高新区、万盛经开区（以下统称区县）全域标准化试点，建立层次分明、科学合理、适用有效的标准体系，满足城乡规划、建设与管理的需要，提升标准化对城市可持续发展的服务能力。</w:t>
      </w:r>
      <w:r>
        <w:rPr>
          <w:rFonts w:hint="eastAsia" w:eastAsia="方正楷体_GBK"/>
          <w:spacing w:val="-4"/>
        </w:rPr>
        <w:t>（市市场监管局按职责分工负责，各区县政府落实）</w:t>
      </w:r>
    </w:p>
    <w:p>
      <w:pPr>
        <w:ind w:firstLine="632" w:firstLineChars="200"/>
        <w:rPr>
          <w:rFonts w:hint="eastAsia" w:eastAsia="方正楷体_GBK"/>
        </w:rPr>
      </w:pPr>
      <w:r>
        <w:rPr>
          <w:rFonts w:hint="eastAsia" w:eastAsia="方正楷体_GBK"/>
        </w:rPr>
        <w:t>（六）提升标准化对外开放水平。</w:t>
      </w:r>
    </w:p>
    <w:p>
      <w:pPr>
        <w:ind w:firstLine="632" w:firstLineChars="200"/>
        <w:rPr>
          <w:rFonts w:hint="eastAsia" w:eastAsia="方正楷体_GBK"/>
        </w:rPr>
      </w:pPr>
      <w:r>
        <w:rPr>
          <w:rFonts w:hint="eastAsia"/>
        </w:rPr>
        <w:t>14．深化标准化交流合作。建立政府引导、企业主体、产学研联动的国际标准化工作机制，统筹推进标准化与科技、产业、金融对外交流合作，促进政策、规则、标准联通。推动标准制度型开放，保障外商投资企业依法平等参与标准制定。支持企业、社会团体、科研机构等积极参与、建设各类国际性专业标准组织，鼓励我市专家和机构担任国际标准化技术组织职务或承担秘书处工作。支持国际国内标准化技术机构落户重庆。持续开展重点领域标准比对分析，合理采用国际标准和国外先进标准。探索推动我市与国外相关城市结成标准化合作城市。（</w:t>
      </w:r>
      <w:r>
        <w:rPr>
          <w:rFonts w:hint="eastAsia" w:eastAsia="方正楷体_GBK"/>
        </w:rPr>
        <w:t>市科技局、市经济信息委、市市场监管局等按职责分工负责）</w:t>
      </w:r>
    </w:p>
    <w:p>
      <w:pPr>
        <w:ind w:firstLine="632" w:firstLineChars="200"/>
        <w:rPr>
          <w:rFonts w:hint="eastAsia" w:eastAsia="方正楷体_GBK"/>
        </w:rPr>
      </w:pPr>
      <w:r>
        <w:rPr>
          <w:rFonts w:hint="eastAsia"/>
        </w:rPr>
        <w:t>15．强化贸易便利化标准支撑。更好利用国际国内两个市场、两种资源，大力培育以技术、品牌、质量、服务和标准为核心的外贸竞争新优势。加快跨境电子商务、保税商品展示及保税贸易、跨境结算、服务外包等领域标准研制，强化与国际多式联运规则标准对接，推动中国（重庆）自由贸易试验区建设。开展中新（重庆）战略性互联互通示范项目金融、航空、运输物流、信息通信技术等领域标准化研究。促进市场交易规则、交易方式、标准体系国内外融通，推动制度型开放。促进内外贸质量标准、检验检疫、认证认可等相衔接，推进同线同标同质。加强对主要经济体技术性贸易壁垒变化趋势研究，强化技术性贸易壁垒应对。围绕民营经济发展重点和需求，加强商会和民营经济标准化工作，推进标准化促进民营经济高质量发展行动计划，服务国内外经贸活动。</w:t>
      </w:r>
      <w:r>
        <w:rPr>
          <w:rFonts w:hint="eastAsia" w:eastAsia="方正楷体_GBK"/>
        </w:rPr>
        <w:t>（市商务委、市市场监管局、市中新项目管理局、市政府口岸物流办、市工商联、重庆海关等按职责分工负责）</w:t>
      </w:r>
    </w:p>
    <w:p>
      <w:pPr>
        <w:ind w:firstLine="632" w:firstLineChars="200"/>
        <w:rPr>
          <w:rFonts w:hint="eastAsia" w:eastAsia="方正楷体_GBK"/>
        </w:rPr>
      </w:pPr>
      <w:r>
        <w:rPr>
          <w:rFonts w:hint="eastAsia" w:eastAsia="方正楷体_GBK"/>
        </w:rPr>
        <w:t>（七）推动标准化改革创新。</w:t>
      </w:r>
    </w:p>
    <w:p>
      <w:pPr>
        <w:ind w:firstLine="632" w:firstLineChars="200"/>
        <w:rPr>
          <w:rFonts w:hint="eastAsia" w:eastAsia="方正楷体_GBK"/>
        </w:rPr>
      </w:pPr>
      <w:r>
        <w:rPr>
          <w:rFonts w:hint="eastAsia"/>
        </w:rPr>
        <w:t>16．优化标准供给结构。充分释放市场主体标准活力，扩大市场自主制定标准比重，优化政府发布标准与市场自主制定标准二元标准体系结构。推动地方标准改革，严格依法制定强制性地方标准，强化推荐性地方标准的公益性和协调配套，支撑政府有效履行职责。实施团体标准培优计划，引导社会团体制定原创性、高质量标准。鼓励企业构建技术、专利、标准联动创新体系，支持领军企业联合科研机构、中小企业等建立标准合作机制。深入推进企业标准“领跑者”制度，推动第三方评价机构发布一批企业标准排行榜。</w:t>
      </w:r>
      <w:r>
        <w:rPr>
          <w:rFonts w:hint="eastAsia" w:eastAsia="方正楷体_GBK"/>
        </w:rPr>
        <w:t>（市经济信息委、市民政局、市市场监管局等按职责分工负责）</w:t>
      </w:r>
    </w:p>
    <w:p>
      <w:pPr>
        <w:ind w:firstLine="632" w:firstLineChars="200"/>
        <w:rPr>
          <w:rFonts w:hint="eastAsia" w:eastAsia="方正楷体_GBK"/>
        </w:rPr>
      </w:pPr>
      <w:r>
        <w:rPr>
          <w:rFonts w:hint="eastAsia"/>
        </w:rPr>
        <w:t>17．强化标准实施应用。推动建立地方性法规、政府规章引用标准制度和政策实施配套标准制度，在地方性法规和政策文件制定时积极应用标准。完善认证认可、检验检测、政府采购、招投标等活动中应用先进标准机制，推进以标准为依据开展宏观调控、产业推进、行业管理、市场准入和质量监管。强化标准实施与产业政策、区域政策、节能环保政策等衔接。健全基于标准或标准条款订立、履行合同的机制。推进市场自主制定标准交易制度，加大标准版权保护。按照国家有关规定，开展标准化试点示范工作，完善对标达标工作机制，推进企业提升执行标准能力，瞄准国际先进标准提高水平。</w:t>
      </w:r>
      <w:r>
        <w:rPr>
          <w:rFonts w:hint="eastAsia" w:eastAsia="方正楷体_GBK"/>
        </w:rPr>
        <w:t>（市经济信息委、市司法局、市财政局、市市场监管局等按职责分工负责）</w:t>
      </w:r>
    </w:p>
    <w:p>
      <w:pPr>
        <w:ind w:firstLine="632" w:firstLineChars="200"/>
        <w:rPr>
          <w:rFonts w:hint="eastAsia" w:eastAsia="方正楷体_GBK"/>
        </w:rPr>
      </w:pPr>
      <w:r>
        <w:rPr>
          <w:rFonts w:hint="eastAsia"/>
        </w:rPr>
        <w:t>18．加强标准制定和实施的监督。健全覆盖地方标准制定实施全过程的追溯、监督和纠错机制，实现闭环的全生命周期管理。开展地方标准质量和地方标准实施第三方评估，加强地方标准复审。强化行业自律和社会监督，发挥市场对团体标准的优胜劣汰作用。完善团体标准、企业标准自我声明公开和监督制度，对自我声明公开的团体标准、企业标准加强事中事后监督检查，确立标准对质量的“硬约束”。建立标准实施举报、投诉机制，鼓励社会公众对标准实施情况进行监督。</w:t>
      </w:r>
      <w:r>
        <w:rPr>
          <w:rFonts w:hint="eastAsia" w:eastAsia="方正楷体_GBK"/>
        </w:rPr>
        <w:t>（市政府各部门按职责分工负责，各区县政府落实）</w:t>
      </w:r>
    </w:p>
    <w:p>
      <w:pPr>
        <w:ind w:firstLine="632" w:firstLineChars="200"/>
        <w:rPr>
          <w:rFonts w:hint="eastAsia" w:eastAsia="方正楷体_GBK"/>
        </w:rPr>
      </w:pPr>
      <w:r>
        <w:rPr>
          <w:rFonts w:hint="eastAsia" w:eastAsia="方正楷体_GBK"/>
        </w:rPr>
        <w:t>（八）夯实标准化发展基础。</w:t>
      </w:r>
    </w:p>
    <w:p>
      <w:pPr>
        <w:ind w:firstLine="632" w:firstLineChars="200"/>
        <w:rPr>
          <w:rFonts w:hint="eastAsia" w:eastAsia="方正楷体_GBK"/>
        </w:rPr>
      </w:pPr>
      <w:r>
        <w:rPr>
          <w:rFonts w:hint="eastAsia"/>
        </w:rPr>
        <w:t>19．提升标准化技术支撑水平。主动参与国家标准化基础理论和应用研究。加大对专业标准化技术委员会的整合、考核、通报力度，形成“能进能退”的动态管理模式。在重要产业和重点区域，争创国家级质量标准实验室、国家标准验证点和国家产品质量检验检测中心。持续建设国家技术标准创新基地（重庆），推动标准大数据中心、标准孵化中心、标准评价中心、标准培训中心、标准国际化中心建设。完善标准化数据库和地方标准信息公开平台，推动标准化工作向数字化、网络化和智能化转型。（</w:t>
      </w:r>
      <w:r>
        <w:rPr>
          <w:rFonts w:hint="eastAsia" w:eastAsia="方正楷体_GBK"/>
        </w:rPr>
        <w:t>市市场监管局负责）</w:t>
      </w:r>
    </w:p>
    <w:p>
      <w:pPr>
        <w:ind w:firstLine="632" w:firstLineChars="200"/>
        <w:rPr>
          <w:rFonts w:hint="eastAsia" w:eastAsia="方正楷体_GBK"/>
        </w:rPr>
      </w:pPr>
      <w:r>
        <w:rPr>
          <w:rFonts w:hint="eastAsia"/>
        </w:rPr>
        <w:t>20．大力发展标准化服务业。完善促进标准化服务业发展的措施，培育壮大标准化服务业市场主体，提供标准咨询、标准研究、标准制定等服务。推进标准与计量、认证认可、检验检测协同发展，面向企业、产业、区域提供全链条、全方位、全过程的质量基础设施“一站式”服务。鼓励标准化服务机构面向中小微企业实际需求，整合上下游资源，提供标准化整体解决方案。大力发展新型标准化服务工具和模式，提升服务专业化水平。（</w:t>
      </w:r>
      <w:r>
        <w:rPr>
          <w:rFonts w:hint="eastAsia" w:eastAsia="方正楷体_GBK"/>
        </w:rPr>
        <w:t>市市场监管局负责）</w:t>
      </w:r>
    </w:p>
    <w:p>
      <w:pPr>
        <w:ind w:firstLine="632" w:firstLineChars="200"/>
        <w:rPr>
          <w:rFonts w:hint="eastAsia" w:eastAsia="方正楷体_GBK"/>
        </w:rPr>
      </w:pPr>
      <w:r>
        <w:rPr>
          <w:rFonts w:hint="eastAsia"/>
        </w:rPr>
        <w:t>21．加强标准化专业人才培养。持续推行标准化工程师制度，加强对标准化工程师制度实施情况评估。支持高等院校开设标准化相关课程，加强标准化相关专业人才培养，推动标准化普及教育。依托高等院校、企业及科研院所加强标准化人才培训基地建设。加强标准化技术组织和企业标准化培训，提升企业管理层和员工的标准化技能、标准化技术人员的专业水平、政府公务人员和社会公众的标准化知识。重视国际标准化人才培养，建设一批培训基地，造就一支懂规则、熟标准、通技术的国际标准化人才队伍。加强基层标准化管理人员队伍建设。（</w:t>
      </w:r>
      <w:r>
        <w:rPr>
          <w:rFonts w:hint="eastAsia" w:eastAsia="方正楷体_GBK"/>
        </w:rPr>
        <w:t>市教委、市人力社保局、市市场监管局等按职责分工负责）</w:t>
      </w:r>
    </w:p>
    <w:p>
      <w:pPr>
        <w:ind w:firstLine="632" w:firstLineChars="200"/>
        <w:rPr>
          <w:rFonts w:hint="eastAsia" w:eastAsia="方正楷体_GBK"/>
        </w:rPr>
      </w:pPr>
      <w:r>
        <w:rPr>
          <w:rFonts w:hint="eastAsia"/>
        </w:rPr>
        <w:t>22．营造标准化良好社会氛围。积极宣传贯彻《重庆市标准化条例》《重庆市地方标准管理办法》，夯实标准化法治基础。广泛开展“世界标准日”宣传周、质量月、消费者权益日等标准化宣传活动，深入企业、机关、学校、社区、乡村宣传标准化知识，普及标准化理念、知识和方法，提升全社会标准化意识，推动标准化成为政府管理、社会治理、法人治理的重要工具，努力形成人人关注标准、人人使用标准的良好环境。大力培育发展标准化文化。</w:t>
      </w:r>
      <w:r>
        <w:rPr>
          <w:rFonts w:hint="eastAsia" w:eastAsia="方正楷体_GBK"/>
        </w:rPr>
        <w:t>（市司法局、市市场监管局等按职责分工负责，各区县政府落实）</w:t>
      </w:r>
    </w:p>
    <w:p>
      <w:pPr>
        <w:ind w:firstLine="632" w:firstLineChars="200"/>
        <w:rPr>
          <w:rFonts w:hint="eastAsia" w:eastAsia="方正黑体_GBK"/>
        </w:rPr>
      </w:pPr>
      <w:r>
        <w:rPr>
          <w:rFonts w:hint="eastAsia" w:eastAsia="方正黑体_GBK"/>
        </w:rPr>
        <w:t>三、组织实施</w:t>
      </w:r>
    </w:p>
    <w:p>
      <w:pPr>
        <w:ind w:firstLine="632" w:firstLineChars="200"/>
        <w:rPr>
          <w:rFonts w:hint="eastAsia" w:eastAsia="方正楷体_GBK"/>
        </w:rPr>
      </w:pPr>
      <w:r>
        <w:rPr>
          <w:rFonts w:hint="eastAsia" w:eastAsia="方正楷体_GBK"/>
        </w:rPr>
        <w:t>（一）加强组织领导。</w:t>
      </w:r>
    </w:p>
    <w:p>
      <w:pPr>
        <w:ind w:firstLine="632" w:firstLineChars="200"/>
        <w:rPr>
          <w:rFonts w:hint="eastAsia"/>
        </w:rPr>
      </w:pPr>
      <w:r>
        <w:rPr>
          <w:rFonts w:hint="eastAsia"/>
        </w:rPr>
        <w:t>坚持党对标准化工作的全面领导，完善市政府标准化协调推进部门联席会议制度，将标准化工作纳入政府绩效评价和政绩考核。各区县政府可根据工作需要，建立标准化协调机制，统筹协调本行政区域内标准化工作重大事项。各区县政府、市政府各部门要将本实施意见主要任务与国民经济和社会发展规划有效衔接、同步推进，结合实际推动各项标准化工作，加大标准化战略实施力度。</w:t>
      </w:r>
    </w:p>
    <w:p>
      <w:pPr>
        <w:ind w:firstLine="632" w:firstLineChars="200"/>
        <w:rPr>
          <w:rFonts w:hint="eastAsia" w:eastAsia="方正楷体_GBK"/>
        </w:rPr>
      </w:pPr>
      <w:r>
        <w:rPr>
          <w:rFonts w:hint="eastAsia" w:eastAsia="方正楷体_GBK"/>
        </w:rPr>
        <w:t>（二）完善配套政策。</w:t>
      </w:r>
    </w:p>
    <w:p>
      <w:pPr>
        <w:ind w:firstLine="632" w:firstLineChars="200"/>
        <w:rPr>
          <w:rFonts w:hint="eastAsia"/>
        </w:rPr>
      </w:pPr>
      <w:r>
        <w:rPr>
          <w:rFonts w:hint="eastAsia"/>
        </w:rPr>
        <w:t>各区县政府、市政府各部门要强化金融、信用、人才等政策支持，促进科技、产业、贸易等政策协同。建立标准创新奖励制度，对在标准化工作中作出显著成绩的单位和个人按相关规定予以表彰和奖励。统筹部门预算保障好国际标准、国家标准、行业标准、地方标准制定（修订）和跨部门、跨行业、跨领域重点标准体系规划研究，以及标准化试点示范项目建设。发挥财政资金引导作用，积极引导社会资本投入标准化工作。开展标准化发展评价，将相关指标纳入国民经济和社会发展统计。严格落实《国家标准化发展纲要》实施评估机制，把相关结果作为改进标准化工作的重要依据。重大事项及时向市政府报告。</w:t>
      </w:r>
    </w:p>
    <w:p>
      <w:pPr>
        <w:ind w:firstLine="632" w:firstLineChars="200"/>
      </w:pPr>
    </w:p>
    <w:p>
      <w:pPr>
        <w:ind w:firstLine="632" w:firstLineChars="200"/>
        <w:rPr>
          <w:rFonts w:hint="eastAsia"/>
        </w:rPr>
      </w:pPr>
      <w:r>
        <w:rPr>
          <w:rFonts w:hint="eastAsia"/>
        </w:rPr>
        <w:t>附件：“十四五”期间标准化工作计划</w:t>
      </w:r>
    </w:p>
    <w:p>
      <w:pPr>
        <w:ind w:firstLine="632" w:firstLineChars="200"/>
      </w:pPr>
    </w:p>
    <w:p>
      <w:pPr>
        <w:ind w:firstLine="632" w:firstLineChars="200"/>
      </w:pPr>
    </w:p>
    <w:p>
      <w:pPr>
        <w:ind w:right="989" w:rightChars="313" w:firstLine="632" w:firstLineChars="200"/>
        <w:jc w:val="right"/>
        <w:rPr>
          <w:rFonts w:hint="eastAsia"/>
        </w:rPr>
      </w:pPr>
      <w:r>
        <w:rPr>
          <w:rFonts w:hint="eastAsia"/>
        </w:rPr>
        <w:t>重庆市人民政府办公厅</w:t>
      </w:r>
    </w:p>
    <w:p>
      <w:pPr>
        <w:ind w:right="1264" w:rightChars="400" w:firstLine="632" w:firstLineChars="200"/>
        <w:jc w:val="right"/>
        <w:rPr>
          <w:rFonts w:hint="eastAsia"/>
        </w:rPr>
      </w:pPr>
      <w:r>
        <w:rPr>
          <w:rFonts w:hint="eastAsia"/>
        </w:rPr>
        <w:t>2021年12月10日</w:t>
      </w:r>
    </w:p>
    <w:p>
      <w:pPr>
        <w:rPr>
          <w:rFonts w:hint="eastAsia" w:eastAsia="方正黑体_GBK"/>
        </w:rPr>
      </w:pPr>
      <w:r>
        <w:rPr>
          <w:rFonts w:hint="eastAsia"/>
          <w:lang w:eastAsia="zh-CN"/>
        </w:rPr>
        <w:t>（此件公开发布）</w:t>
      </w:r>
      <w:r>
        <w:br w:type="page"/>
      </w:r>
      <w:r>
        <w:rPr>
          <w:rFonts w:hint="eastAsia" w:eastAsia="方正黑体_GBK"/>
        </w:rPr>
        <w:t>附件</w:t>
      </w:r>
    </w:p>
    <w:p>
      <w:pPr>
        <w:ind w:firstLine="632" w:firstLineChars="200"/>
      </w:pPr>
    </w:p>
    <w:p>
      <w:pPr>
        <w:snapToGrid w:val="0"/>
        <w:jc w:val="center"/>
        <w:rPr>
          <w:rFonts w:hint="eastAsia" w:eastAsia="方正小标宋_GBK"/>
          <w:sz w:val="36"/>
          <w:szCs w:val="36"/>
        </w:rPr>
      </w:pPr>
      <w:r>
        <w:rPr>
          <w:rFonts w:hint="eastAsia" w:eastAsia="方正小标宋_GBK"/>
          <w:sz w:val="36"/>
          <w:szCs w:val="36"/>
        </w:rPr>
        <w:t>“十四五”期间标准化工作计划</w:t>
      </w:r>
    </w:p>
    <w:p>
      <w:pPr>
        <w:ind w:firstLine="632" w:firstLineChars="200"/>
        <w:rPr>
          <w:rFonts w:hint="eastAsia"/>
        </w:rPr>
      </w:pPr>
    </w:p>
    <w:p>
      <w:pPr>
        <w:snapToGrid w:val="0"/>
        <w:ind w:firstLine="472" w:firstLineChars="200"/>
        <w:jc w:val="right"/>
        <w:rPr>
          <w:rFonts w:hint="eastAsia" w:eastAsia="方正书宋_GBK"/>
          <w:sz w:val="24"/>
          <w:szCs w:val="24"/>
        </w:rPr>
      </w:pPr>
      <w:r>
        <w:rPr>
          <w:rFonts w:hint="eastAsia" w:eastAsia="方正书宋_GBK"/>
          <w:sz w:val="24"/>
          <w:szCs w:val="24"/>
        </w:rPr>
        <w:t>单位：项</w:t>
      </w:r>
    </w:p>
    <w:tbl>
      <w:tblPr>
        <w:tblStyle w:val="7"/>
        <w:tblW w:w="884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60"/>
        <w:gridCol w:w="2143"/>
        <w:gridCol w:w="1554"/>
        <w:gridCol w:w="1414"/>
        <w:gridCol w:w="900"/>
        <w:gridCol w:w="904"/>
        <w:gridCol w:w="137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560" w:type="dxa"/>
            <w:noWrap w:val="0"/>
            <w:tcMar>
              <w:top w:w="57" w:type="dxa"/>
              <w:left w:w="85" w:type="dxa"/>
              <w:bottom w:w="57" w:type="dxa"/>
              <w:right w:w="85" w:type="dxa"/>
            </w:tcMar>
            <w:vAlign w:val="center"/>
          </w:tcPr>
          <w:p>
            <w:pPr>
              <w:jc w:val="center"/>
              <w:rPr>
                <w:rFonts w:eastAsia="方正黑体_GBK"/>
                <w:sz w:val="24"/>
                <w:szCs w:val="24"/>
              </w:rPr>
            </w:pPr>
            <w:r>
              <w:rPr>
                <w:rFonts w:eastAsia="方正黑体_GBK"/>
                <w:sz w:val="24"/>
                <w:szCs w:val="24"/>
              </w:rPr>
              <w:t>序号</w:t>
            </w:r>
          </w:p>
        </w:tc>
        <w:tc>
          <w:tcPr>
            <w:tcW w:w="2143" w:type="dxa"/>
            <w:noWrap w:val="0"/>
            <w:tcMar>
              <w:top w:w="57" w:type="dxa"/>
              <w:left w:w="85" w:type="dxa"/>
              <w:bottom w:w="57" w:type="dxa"/>
              <w:right w:w="85" w:type="dxa"/>
            </w:tcMar>
            <w:vAlign w:val="center"/>
          </w:tcPr>
          <w:p>
            <w:pPr>
              <w:jc w:val="center"/>
              <w:rPr>
                <w:rFonts w:eastAsia="方正黑体_GBK"/>
                <w:sz w:val="24"/>
                <w:szCs w:val="24"/>
              </w:rPr>
            </w:pPr>
            <w:r>
              <w:rPr>
                <w:rFonts w:eastAsia="方正黑体_GBK"/>
                <w:sz w:val="24"/>
                <w:szCs w:val="24"/>
              </w:rPr>
              <w:t>单位名称</w:t>
            </w:r>
          </w:p>
        </w:tc>
        <w:tc>
          <w:tcPr>
            <w:tcW w:w="1554" w:type="dxa"/>
            <w:noWrap w:val="0"/>
            <w:tcMar>
              <w:top w:w="57" w:type="dxa"/>
              <w:left w:w="85" w:type="dxa"/>
              <w:bottom w:w="57" w:type="dxa"/>
              <w:right w:w="85" w:type="dxa"/>
            </w:tcMar>
            <w:vAlign w:val="center"/>
          </w:tcPr>
          <w:p>
            <w:pPr>
              <w:jc w:val="center"/>
              <w:rPr>
                <w:rFonts w:hint="eastAsia" w:eastAsia="方正黑体_GBK"/>
                <w:sz w:val="24"/>
                <w:szCs w:val="24"/>
              </w:rPr>
            </w:pPr>
            <w:r>
              <w:rPr>
                <w:rFonts w:hint="eastAsia" w:eastAsia="方正黑体_GBK"/>
                <w:sz w:val="24"/>
                <w:szCs w:val="24"/>
              </w:rPr>
              <w:t>支持制定</w:t>
            </w:r>
          </w:p>
          <w:p>
            <w:pPr>
              <w:jc w:val="center"/>
              <w:rPr>
                <w:rFonts w:hint="eastAsia" w:eastAsia="方正黑体_GBK"/>
                <w:sz w:val="24"/>
                <w:szCs w:val="24"/>
              </w:rPr>
            </w:pPr>
            <w:r>
              <w:rPr>
                <w:rFonts w:hint="eastAsia" w:eastAsia="方正黑体_GBK"/>
                <w:sz w:val="24"/>
                <w:szCs w:val="24"/>
              </w:rPr>
              <w:t>（修订）</w:t>
            </w:r>
            <w:r>
              <w:rPr>
                <w:rFonts w:eastAsia="方正黑体_GBK"/>
                <w:sz w:val="24"/>
                <w:szCs w:val="24"/>
              </w:rPr>
              <w:t>国家</w:t>
            </w:r>
          </w:p>
          <w:p>
            <w:pPr>
              <w:jc w:val="center"/>
              <w:rPr>
                <w:rFonts w:eastAsia="方正黑体_GBK"/>
                <w:sz w:val="24"/>
                <w:szCs w:val="24"/>
              </w:rPr>
            </w:pPr>
            <w:r>
              <w:rPr>
                <w:rFonts w:eastAsia="方正黑体_GBK"/>
                <w:sz w:val="24"/>
                <w:szCs w:val="24"/>
              </w:rPr>
              <w:t>和行业标准</w:t>
            </w:r>
          </w:p>
        </w:tc>
        <w:tc>
          <w:tcPr>
            <w:tcW w:w="1414" w:type="dxa"/>
            <w:noWrap w:val="0"/>
            <w:tcMar>
              <w:top w:w="57" w:type="dxa"/>
              <w:left w:w="85" w:type="dxa"/>
              <w:bottom w:w="57" w:type="dxa"/>
              <w:right w:w="85" w:type="dxa"/>
            </w:tcMar>
            <w:vAlign w:val="center"/>
          </w:tcPr>
          <w:p>
            <w:pPr>
              <w:jc w:val="center"/>
              <w:rPr>
                <w:rFonts w:hint="eastAsia" w:eastAsia="方正黑体_GBK"/>
                <w:sz w:val="24"/>
                <w:szCs w:val="24"/>
              </w:rPr>
            </w:pPr>
            <w:r>
              <w:rPr>
                <w:rFonts w:hint="eastAsia" w:eastAsia="方正黑体_GBK"/>
                <w:sz w:val="24"/>
                <w:szCs w:val="24"/>
              </w:rPr>
              <w:t>制定（修订）</w:t>
            </w:r>
          </w:p>
          <w:p>
            <w:pPr>
              <w:jc w:val="center"/>
              <w:rPr>
                <w:rFonts w:eastAsia="方正黑体_GBK"/>
                <w:sz w:val="24"/>
                <w:szCs w:val="24"/>
              </w:rPr>
            </w:pPr>
            <w:r>
              <w:rPr>
                <w:rFonts w:eastAsia="方正黑体_GBK"/>
                <w:sz w:val="24"/>
                <w:szCs w:val="24"/>
              </w:rPr>
              <w:t>地方标准</w:t>
            </w:r>
          </w:p>
        </w:tc>
        <w:tc>
          <w:tcPr>
            <w:tcW w:w="900" w:type="dxa"/>
            <w:noWrap w:val="0"/>
            <w:tcMar>
              <w:top w:w="57" w:type="dxa"/>
              <w:left w:w="85" w:type="dxa"/>
              <w:bottom w:w="57" w:type="dxa"/>
              <w:right w:w="85" w:type="dxa"/>
            </w:tcMar>
            <w:vAlign w:val="center"/>
          </w:tcPr>
          <w:p>
            <w:pPr>
              <w:jc w:val="center"/>
              <w:rPr>
                <w:rFonts w:eastAsia="方正黑体_GBK"/>
                <w:sz w:val="24"/>
                <w:szCs w:val="24"/>
              </w:rPr>
            </w:pPr>
            <w:r>
              <w:rPr>
                <w:rFonts w:eastAsia="方正黑体_GBK"/>
                <w:sz w:val="24"/>
                <w:szCs w:val="24"/>
              </w:rPr>
              <w:t>团体</w:t>
            </w:r>
          </w:p>
          <w:p>
            <w:pPr>
              <w:jc w:val="center"/>
              <w:rPr>
                <w:rFonts w:eastAsia="方正黑体_GBK"/>
                <w:sz w:val="24"/>
                <w:szCs w:val="24"/>
              </w:rPr>
            </w:pPr>
            <w:r>
              <w:rPr>
                <w:rFonts w:eastAsia="方正黑体_GBK"/>
                <w:sz w:val="24"/>
                <w:szCs w:val="24"/>
              </w:rPr>
              <w:t>标准</w:t>
            </w:r>
          </w:p>
        </w:tc>
        <w:tc>
          <w:tcPr>
            <w:tcW w:w="904" w:type="dxa"/>
            <w:noWrap w:val="0"/>
            <w:tcMar>
              <w:top w:w="57" w:type="dxa"/>
              <w:left w:w="85" w:type="dxa"/>
              <w:bottom w:w="57" w:type="dxa"/>
              <w:right w:w="85" w:type="dxa"/>
            </w:tcMar>
            <w:vAlign w:val="center"/>
          </w:tcPr>
          <w:p>
            <w:pPr>
              <w:jc w:val="center"/>
              <w:rPr>
                <w:rFonts w:eastAsia="方正黑体_GBK"/>
                <w:sz w:val="24"/>
                <w:szCs w:val="24"/>
              </w:rPr>
            </w:pPr>
            <w:r>
              <w:rPr>
                <w:rFonts w:eastAsia="方正黑体_GBK"/>
                <w:sz w:val="24"/>
                <w:szCs w:val="24"/>
              </w:rPr>
              <w:t>企业</w:t>
            </w:r>
          </w:p>
          <w:p>
            <w:pPr>
              <w:jc w:val="center"/>
              <w:rPr>
                <w:rFonts w:eastAsia="方正黑体_GBK"/>
                <w:sz w:val="24"/>
                <w:szCs w:val="24"/>
              </w:rPr>
            </w:pPr>
            <w:r>
              <w:rPr>
                <w:rFonts w:eastAsia="方正黑体_GBK"/>
                <w:sz w:val="24"/>
                <w:szCs w:val="24"/>
              </w:rPr>
              <w:t>标准</w:t>
            </w:r>
          </w:p>
        </w:tc>
        <w:tc>
          <w:tcPr>
            <w:tcW w:w="1373" w:type="dxa"/>
            <w:noWrap w:val="0"/>
            <w:tcMar>
              <w:top w:w="57" w:type="dxa"/>
              <w:left w:w="85" w:type="dxa"/>
              <w:bottom w:w="57" w:type="dxa"/>
              <w:right w:w="85" w:type="dxa"/>
            </w:tcMar>
            <w:vAlign w:val="center"/>
          </w:tcPr>
          <w:p>
            <w:pPr>
              <w:jc w:val="center"/>
              <w:rPr>
                <w:rFonts w:hint="eastAsia" w:eastAsia="方正黑体_GBK"/>
                <w:sz w:val="24"/>
                <w:szCs w:val="24"/>
              </w:rPr>
            </w:pPr>
            <w:r>
              <w:rPr>
                <w:rFonts w:eastAsia="方正黑体_GBK"/>
                <w:sz w:val="24"/>
                <w:szCs w:val="24"/>
              </w:rPr>
              <w:t>支持开展</w:t>
            </w:r>
          </w:p>
          <w:p>
            <w:pPr>
              <w:jc w:val="center"/>
              <w:rPr>
                <w:rFonts w:hint="eastAsia" w:eastAsia="方正黑体_GBK"/>
                <w:sz w:val="24"/>
                <w:szCs w:val="24"/>
              </w:rPr>
            </w:pPr>
            <w:r>
              <w:rPr>
                <w:rFonts w:eastAsia="方正黑体_GBK"/>
                <w:sz w:val="24"/>
                <w:szCs w:val="24"/>
              </w:rPr>
              <w:t>标准化试点</w:t>
            </w:r>
          </w:p>
          <w:p>
            <w:pPr>
              <w:jc w:val="center"/>
              <w:rPr>
                <w:rFonts w:eastAsia="方正黑体_GBK"/>
                <w:sz w:val="24"/>
                <w:szCs w:val="24"/>
              </w:rPr>
            </w:pPr>
            <w:r>
              <w:rPr>
                <w:rFonts w:eastAsia="方正黑体_GBK"/>
                <w:sz w:val="24"/>
                <w:szCs w:val="24"/>
              </w:rPr>
              <w:t>示范项目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市发展改革委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restart"/>
            <w:noWrap w:val="0"/>
            <w:tcMar>
              <w:top w:w="57" w:type="dxa"/>
              <w:left w:w="85" w:type="dxa"/>
              <w:bottom w:w="57" w:type="dxa"/>
              <w:right w:w="85" w:type="dxa"/>
            </w:tcMar>
            <w:vAlign w:val="center"/>
          </w:tcPr>
          <w:p>
            <w:pPr>
              <w:rPr>
                <w:rFonts w:eastAsia="方正书宋_GBK"/>
                <w:sz w:val="24"/>
                <w:szCs w:val="24"/>
              </w:rPr>
            </w:pPr>
            <w:r>
              <w:rPr>
                <w:rFonts w:eastAsia="方正书宋_GBK"/>
                <w:sz w:val="24"/>
                <w:szCs w:val="24"/>
              </w:rPr>
              <w:t>推进本部门</w:t>
            </w:r>
            <w:r>
              <w:rPr>
                <w:rFonts w:hint="eastAsia" w:eastAsia="方正书宋_GBK"/>
                <w:sz w:val="24"/>
                <w:szCs w:val="24"/>
              </w:rPr>
              <w:t>所</w:t>
            </w:r>
            <w:r>
              <w:rPr>
                <w:rFonts w:hint="eastAsia" w:eastAsia="方正书宋_GBK"/>
                <w:spacing w:val="-14"/>
                <w:sz w:val="24"/>
                <w:szCs w:val="24"/>
              </w:rPr>
              <w:t>管理的</w:t>
            </w:r>
            <w:r>
              <w:rPr>
                <w:rFonts w:eastAsia="方正书宋_GBK"/>
                <w:spacing w:val="-14"/>
                <w:sz w:val="24"/>
                <w:szCs w:val="24"/>
              </w:rPr>
              <w:t>、</w:t>
            </w:r>
            <w:r>
              <w:rPr>
                <w:rFonts w:eastAsia="方正书宋_GBK"/>
                <w:sz w:val="24"/>
                <w:szCs w:val="24"/>
              </w:rPr>
              <w:t>本行业所</w:t>
            </w:r>
            <w:r>
              <w:rPr>
                <w:rFonts w:hint="eastAsia" w:eastAsia="方正书宋_GBK"/>
                <w:sz w:val="24"/>
                <w:szCs w:val="24"/>
              </w:rPr>
              <w:t>属</w:t>
            </w:r>
            <w:r>
              <w:rPr>
                <w:rFonts w:eastAsia="方正书宋_GBK"/>
                <w:sz w:val="24"/>
                <w:szCs w:val="24"/>
              </w:rPr>
              <w:t>的社会组织自我声明公开团体标准3项以上</w:t>
            </w:r>
          </w:p>
        </w:tc>
        <w:tc>
          <w:tcPr>
            <w:tcW w:w="904" w:type="dxa"/>
            <w:vMerge w:val="restart"/>
            <w:noWrap w:val="0"/>
            <w:tcMar>
              <w:top w:w="57" w:type="dxa"/>
              <w:left w:w="85" w:type="dxa"/>
              <w:bottom w:w="57" w:type="dxa"/>
              <w:right w:w="85" w:type="dxa"/>
            </w:tcMar>
            <w:vAlign w:val="center"/>
          </w:tcPr>
          <w:p>
            <w:pPr>
              <w:rPr>
                <w:rFonts w:eastAsia="方正书宋_GBK"/>
                <w:sz w:val="24"/>
                <w:szCs w:val="24"/>
              </w:rPr>
            </w:pPr>
            <w:r>
              <w:rPr>
                <w:rFonts w:eastAsia="方正书宋_GBK"/>
                <w:sz w:val="24"/>
                <w:szCs w:val="24"/>
              </w:rPr>
              <w:t>推进本部门、本行业</w:t>
            </w:r>
            <w:r>
              <w:rPr>
                <w:rFonts w:hint="eastAsia" w:eastAsia="方正书宋_GBK"/>
                <w:sz w:val="24"/>
                <w:szCs w:val="24"/>
              </w:rPr>
              <w:t>所属</w:t>
            </w:r>
            <w:r>
              <w:rPr>
                <w:rFonts w:eastAsia="方正书宋_GBK"/>
                <w:sz w:val="24"/>
                <w:szCs w:val="24"/>
              </w:rPr>
              <w:t>企业自我声明公开产品和服务企业标准</w:t>
            </w:r>
          </w:p>
        </w:tc>
        <w:tc>
          <w:tcPr>
            <w:tcW w:w="1373" w:type="dxa"/>
            <w:vMerge w:val="restart"/>
            <w:noWrap w:val="0"/>
            <w:tcMar>
              <w:top w:w="57" w:type="dxa"/>
              <w:left w:w="85" w:type="dxa"/>
              <w:bottom w:w="57" w:type="dxa"/>
              <w:right w:w="85" w:type="dxa"/>
            </w:tcMar>
            <w:vAlign w:val="center"/>
          </w:tcPr>
          <w:p>
            <w:pPr>
              <w:rPr>
                <w:rFonts w:eastAsia="方正书宋_GBK"/>
                <w:sz w:val="24"/>
                <w:szCs w:val="24"/>
              </w:rPr>
            </w:pPr>
            <w:r>
              <w:rPr>
                <w:rFonts w:eastAsia="方正书宋_GBK"/>
                <w:sz w:val="24"/>
                <w:szCs w:val="24"/>
              </w:rPr>
              <w:t>至少</w:t>
            </w:r>
            <w:r>
              <w:rPr>
                <w:rFonts w:hint="eastAsia" w:eastAsia="方正书宋_GBK"/>
                <w:sz w:val="24"/>
                <w:szCs w:val="24"/>
              </w:rPr>
              <w:t>开展</w:t>
            </w:r>
            <w:r>
              <w:rPr>
                <w:rFonts w:eastAsia="方正书宋_GBK"/>
                <w:sz w:val="24"/>
                <w:szCs w:val="24"/>
              </w:rPr>
              <w:t>1项国家级或市级农业、工业、服务业以及社会事业等领域项目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市教委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市科技局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4</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市经济信息委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300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市公安局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6</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市民政局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7</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市人力社保局</w:t>
            </w:r>
          </w:p>
        </w:tc>
        <w:tc>
          <w:tcPr>
            <w:tcW w:w="1554" w:type="dxa"/>
            <w:noWrap w:val="0"/>
            <w:tcMar>
              <w:top w:w="57" w:type="dxa"/>
              <w:left w:w="85" w:type="dxa"/>
              <w:bottom w:w="57" w:type="dxa"/>
              <w:right w:w="85" w:type="dxa"/>
            </w:tcMar>
            <w:vAlign w:val="center"/>
          </w:tcPr>
          <w:p>
            <w:pPr>
              <w:jc w:val="center"/>
              <w:rPr>
                <w:rFonts w:hint="eastAsia" w:eastAsia="方正书宋_GBK"/>
                <w:sz w:val="24"/>
                <w:szCs w:val="24"/>
              </w:rPr>
            </w:pPr>
            <w:r>
              <w:rPr>
                <w:rFonts w:hint="eastAsia" w:eastAsia="方正书宋_GBK"/>
                <w:sz w:val="24"/>
                <w:szCs w:val="24"/>
              </w:rPr>
              <w:t>—</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4</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8</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市规划自然资源局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9</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市生态环境局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1</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3</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市住房城乡建委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11</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市城市管理局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12</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市交通局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13</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市水利局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14</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市农业农村委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15</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市商务委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16</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市文化旅游委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17</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市卫生健康委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6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18</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市退役军人事务局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19</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市应急局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30</w:t>
            </w:r>
          </w:p>
        </w:tc>
        <w:tc>
          <w:tcPr>
            <w:tcW w:w="900" w:type="dxa"/>
            <w:vMerge w:val="restart"/>
            <w:noWrap w:val="0"/>
            <w:tcMar>
              <w:top w:w="57" w:type="dxa"/>
              <w:left w:w="85" w:type="dxa"/>
              <w:bottom w:w="57" w:type="dxa"/>
              <w:right w:w="85" w:type="dxa"/>
            </w:tcMar>
            <w:vAlign w:val="center"/>
          </w:tcPr>
          <w:p>
            <w:pPr>
              <w:rPr>
                <w:rFonts w:eastAsia="方正书宋_GBK"/>
                <w:sz w:val="24"/>
                <w:szCs w:val="24"/>
              </w:rPr>
            </w:pPr>
          </w:p>
        </w:tc>
        <w:tc>
          <w:tcPr>
            <w:tcW w:w="904" w:type="dxa"/>
            <w:vMerge w:val="restart"/>
            <w:noWrap w:val="0"/>
            <w:tcMar>
              <w:top w:w="57" w:type="dxa"/>
              <w:left w:w="85" w:type="dxa"/>
              <w:bottom w:w="57" w:type="dxa"/>
              <w:right w:w="85" w:type="dxa"/>
            </w:tcMar>
            <w:vAlign w:val="center"/>
          </w:tcPr>
          <w:p>
            <w:pPr>
              <w:rPr>
                <w:rFonts w:eastAsia="方正书宋_GBK"/>
                <w:sz w:val="24"/>
                <w:szCs w:val="24"/>
              </w:rPr>
            </w:pPr>
          </w:p>
        </w:tc>
        <w:tc>
          <w:tcPr>
            <w:tcW w:w="1373" w:type="dxa"/>
            <w:vMerge w:val="restart"/>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市市场监管局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21</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市体育局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22</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市机关事务局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23</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市大数据发展局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24</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市政府口岸物流办</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6</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25</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市林业局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26</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市知识产权局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6"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27</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市工商联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28</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市残联</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29</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市气象局</w:t>
            </w:r>
          </w:p>
        </w:tc>
        <w:tc>
          <w:tcPr>
            <w:tcW w:w="155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w:t>
            </w:r>
          </w:p>
        </w:tc>
        <w:tc>
          <w:tcPr>
            <w:tcW w:w="141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0" w:type="dxa"/>
            <w:vMerge w:val="continue"/>
            <w:noWrap w:val="0"/>
            <w:tcMar>
              <w:top w:w="57" w:type="dxa"/>
              <w:left w:w="85" w:type="dxa"/>
              <w:bottom w:w="57" w:type="dxa"/>
              <w:right w:w="85" w:type="dxa"/>
            </w:tcMar>
            <w:vAlign w:val="center"/>
          </w:tcPr>
          <w:p>
            <w:pPr>
              <w:rPr>
                <w:rFonts w:eastAsia="方正书宋_GBK"/>
                <w:sz w:val="24"/>
                <w:szCs w:val="24"/>
              </w:rPr>
            </w:pPr>
          </w:p>
        </w:tc>
        <w:tc>
          <w:tcPr>
            <w:tcW w:w="904" w:type="dxa"/>
            <w:vMerge w:val="continue"/>
            <w:noWrap w:val="0"/>
            <w:tcMar>
              <w:top w:w="57" w:type="dxa"/>
              <w:left w:w="85" w:type="dxa"/>
              <w:bottom w:w="57" w:type="dxa"/>
              <w:right w:w="85" w:type="dxa"/>
            </w:tcMar>
            <w:vAlign w:val="center"/>
          </w:tcPr>
          <w:p>
            <w:pPr>
              <w:rPr>
                <w:rFonts w:eastAsia="方正书宋_GBK"/>
                <w:sz w:val="24"/>
                <w:szCs w:val="24"/>
              </w:rPr>
            </w:pPr>
          </w:p>
        </w:tc>
        <w:tc>
          <w:tcPr>
            <w:tcW w:w="1373" w:type="dxa"/>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09" w:hRule="atLeas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30</w:t>
            </w:r>
          </w:p>
        </w:tc>
        <w:tc>
          <w:tcPr>
            <w:tcW w:w="2143"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主城都市区</w:t>
            </w:r>
            <w:r>
              <w:rPr>
                <w:rFonts w:hint="eastAsia" w:eastAsia="方正书宋_GBK"/>
                <w:sz w:val="24"/>
                <w:szCs w:val="24"/>
              </w:rPr>
              <w:t>各区</w:t>
            </w:r>
          </w:p>
        </w:tc>
        <w:tc>
          <w:tcPr>
            <w:tcW w:w="2968" w:type="dxa"/>
            <w:gridSpan w:val="2"/>
            <w:vMerge w:val="restart"/>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支持</w:t>
            </w:r>
            <w:r>
              <w:rPr>
                <w:rFonts w:hint="eastAsia" w:eastAsia="方正书宋_GBK"/>
                <w:sz w:val="24"/>
                <w:szCs w:val="24"/>
              </w:rPr>
              <w:t>制定（修订）</w:t>
            </w:r>
            <w:r>
              <w:rPr>
                <w:rFonts w:eastAsia="方正书宋_GBK"/>
                <w:sz w:val="24"/>
                <w:szCs w:val="24"/>
              </w:rPr>
              <w:t>国家、行业和地方标准</w:t>
            </w:r>
          </w:p>
        </w:tc>
        <w:tc>
          <w:tcPr>
            <w:tcW w:w="90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30</w:t>
            </w:r>
          </w:p>
        </w:tc>
        <w:tc>
          <w:tcPr>
            <w:tcW w:w="90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200</w:t>
            </w:r>
          </w:p>
        </w:tc>
        <w:tc>
          <w:tcPr>
            <w:tcW w:w="1373" w:type="dxa"/>
            <w:vMerge w:val="restart"/>
            <w:noWrap w:val="0"/>
            <w:tcMar>
              <w:top w:w="57" w:type="dxa"/>
              <w:left w:w="85" w:type="dxa"/>
              <w:bottom w:w="57" w:type="dxa"/>
              <w:right w:w="85" w:type="dxa"/>
            </w:tcMar>
            <w:vAlign w:val="center"/>
          </w:tcPr>
          <w:p>
            <w:pPr>
              <w:rPr>
                <w:rFonts w:eastAsia="方正书宋_GBK"/>
                <w:sz w:val="24"/>
                <w:szCs w:val="24"/>
              </w:rPr>
            </w:pPr>
            <w:r>
              <w:rPr>
                <w:rFonts w:eastAsia="方正书宋_GBK"/>
                <w:sz w:val="24"/>
                <w:szCs w:val="24"/>
              </w:rPr>
              <w:t>至少</w:t>
            </w:r>
            <w:r>
              <w:rPr>
                <w:rFonts w:hint="eastAsia" w:eastAsia="方正书宋_GBK"/>
                <w:sz w:val="24"/>
                <w:szCs w:val="24"/>
              </w:rPr>
              <w:t>开展</w:t>
            </w:r>
            <w:r>
              <w:rPr>
                <w:rFonts w:eastAsia="方正书宋_GBK"/>
                <w:sz w:val="24"/>
                <w:szCs w:val="24"/>
              </w:rPr>
              <w:t>1项国家级或2项市级农业、工业、服务业以及社会事业等领域项目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31</w:t>
            </w:r>
          </w:p>
        </w:tc>
        <w:tc>
          <w:tcPr>
            <w:tcW w:w="2143" w:type="dxa"/>
            <w:noWrap w:val="0"/>
            <w:tcMar>
              <w:top w:w="57" w:type="dxa"/>
              <w:left w:w="85" w:type="dxa"/>
              <w:bottom w:w="57" w:type="dxa"/>
              <w:right w:w="85" w:type="dxa"/>
            </w:tcMar>
            <w:vAlign w:val="center"/>
          </w:tcPr>
          <w:p>
            <w:pPr>
              <w:jc w:val="center"/>
              <w:rPr>
                <w:rFonts w:hint="eastAsia" w:eastAsia="方正书宋_GBK"/>
                <w:sz w:val="24"/>
                <w:szCs w:val="24"/>
              </w:rPr>
            </w:pPr>
            <w:r>
              <w:rPr>
                <w:rFonts w:eastAsia="方正书宋_GBK"/>
                <w:sz w:val="24"/>
                <w:szCs w:val="24"/>
              </w:rPr>
              <w:t>渝东北三峡库区</w:t>
            </w:r>
          </w:p>
          <w:p>
            <w:pPr>
              <w:jc w:val="center"/>
              <w:rPr>
                <w:rFonts w:eastAsia="方正书宋_GBK"/>
                <w:sz w:val="24"/>
                <w:szCs w:val="24"/>
              </w:rPr>
            </w:pPr>
            <w:r>
              <w:rPr>
                <w:rFonts w:eastAsia="方正书宋_GBK"/>
                <w:sz w:val="24"/>
                <w:szCs w:val="24"/>
              </w:rPr>
              <w:t>城镇群</w:t>
            </w:r>
            <w:r>
              <w:rPr>
                <w:rFonts w:hint="eastAsia" w:eastAsia="方正书宋_GBK"/>
                <w:sz w:val="24"/>
                <w:szCs w:val="24"/>
              </w:rPr>
              <w:t>各区县</w:t>
            </w:r>
          </w:p>
        </w:tc>
        <w:tc>
          <w:tcPr>
            <w:tcW w:w="0" w:type="auto"/>
            <w:gridSpan w:val="2"/>
            <w:vMerge w:val="continue"/>
            <w:noWrap w:val="0"/>
            <w:tcMar>
              <w:top w:w="57" w:type="dxa"/>
              <w:left w:w="85" w:type="dxa"/>
              <w:bottom w:w="57" w:type="dxa"/>
              <w:right w:w="85" w:type="dxa"/>
            </w:tcMar>
            <w:vAlign w:val="center"/>
          </w:tcPr>
          <w:p>
            <w:pPr>
              <w:jc w:val="center"/>
              <w:rPr>
                <w:rFonts w:eastAsia="方正书宋_GBK"/>
                <w:sz w:val="24"/>
                <w:szCs w:val="24"/>
              </w:rPr>
            </w:pPr>
          </w:p>
        </w:tc>
        <w:tc>
          <w:tcPr>
            <w:tcW w:w="90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50</w:t>
            </w:r>
          </w:p>
        </w:tc>
        <w:tc>
          <w:tcPr>
            <w:tcW w:w="0" w:type="auto"/>
            <w:vMerge w:val="continue"/>
            <w:noWrap w:val="0"/>
            <w:tcMar>
              <w:top w:w="57" w:type="dxa"/>
              <w:left w:w="85" w:type="dxa"/>
              <w:bottom w:w="57" w:type="dxa"/>
              <w:right w:w="85" w:type="dxa"/>
            </w:tcMar>
            <w:vAlign w:val="center"/>
          </w:tcPr>
          <w:p>
            <w:pPr>
              <w:rPr>
                <w:rFonts w:eastAsia="方正书宋_GBK"/>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jc w:val="center"/>
        </w:trPr>
        <w:tc>
          <w:tcPr>
            <w:tcW w:w="560" w:type="dxa"/>
            <w:noWrap w:val="0"/>
            <w:tcMar>
              <w:top w:w="57" w:type="dxa"/>
              <w:left w:w="85" w:type="dxa"/>
              <w:bottom w:w="57" w:type="dxa"/>
              <w:right w:w="85" w:type="dxa"/>
            </w:tcMar>
            <w:vAlign w:val="center"/>
          </w:tcPr>
          <w:p>
            <w:pPr>
              <w:jc w:val="center"/>
              <w:rPr>
                <w:rFonts w:eastAsia="方正书宋_GBK"/>
                <w:sz w:val="24"/>
                <w:szCs w:val="24"/>
              </w:rPr>
            </w:pPr>
            <w:r>
              <w:rPr>
                <w:rFonts w:hint="eastAsia" w:eastAsia="方正书宋_GBK"/>
                <w:sz w:val="24"/>
                <w:szCs w:val="24"/>
              </w:rPr>
              <w:t>32</w:t>
            </w:r>
          </w:p>
        </w:tc>
        <w:tc>
          <w:tcPr>
            <w:tcW w:w="2143" w:type="dxa"/>
            <w:noWrap w:val="0"/>
            <w:tcMar>
              <w:top w:w="57" w:type="dxa"/>
              <w:left w:w="85" w:type="dxa"/>
              <w:bottom w:w="57" w:type="dxa"/>
              <w:right w:w="85" w:type="dxa"/>
            </w:tcMar>
            <w:vAlign w:val="center"/>
          </w:tcPr>
          <w:p>
            <w:pPr>
              <w:jc w:val="center"/>
              <w:rPr>
                <w:rFonts w:hint="eastAsia" w:eastAsia="方正书宋_GBK"/>
                <w:sz w:val="24"/>
                <w:szCs w:val="24"/>
              </w:rPr>
            </w:pPr>
            <w:r>
              <w:rPr>
                <w:rFonts w:eastAsia="方正书宋_GBK"/>
                <w:sz w:val="24"/>
                <w:szCs w:val="24"/>
              </w:rPr>
              <w:t>渝东南武陵山区</w:t>
            </w:r>
          </w:p>
          <w:p>
            <w:pPr>
              <w:jc w:val="center"/>
              <w:rPr>
                <w:rFonts w:eastAsia="方正书宋_GBK"/>
                <w:sz w:val="24"/>
                <w:szCs w:val="24"/>
              </w:rPr>
            </w:pPr>
            <w:r>
              <w:rPr>
                <w:rFonts w:eastAsia="方正书宋_GBK"/>
                <w:sz w:val="24"/>
                <w:szCs w:val="24"/>
              </w:rPr>
              <w:t>城镇群</w:t>
            </w:r>
            <w:r>
              <w:rPr>
                <w:rFonts w:hint="eastAsia" w:eastAsia="方正书宋_GBK"/>
                <w:sz w:val="24"/>
                <w:szCs w:val="24"/>
              </w:rPr>
              <w:t>各区县</w:t>
            </w:r>
          </w:p>
        </w:tc>
        <w:tc>
          <w:tcPr>
            <w:tcW w:w="0" w:type="auto"/>
            <w:gridSpan w:val="2"/>
            <w:vMerge w:val="continue"/>
            <w:noWrap w:val="0"/>
            <w:tcMar>
              <w:top w:w="57" w:type="dxa"/>
              <w:left w:w="85" w:type="dxa"/>
              <w:bottom w:w="57" w:type="dxa"/>
              <w:right w:w="85" w:type="dxa"/>
            </w:tcMar>
            <w:vAlign w:val="center"/>
          </w:tcPr>
          <w:p>
            <w:pPr>
              <w:jc w:val="center"/>
              <w:rPr>
                <w:rFonts w:eastAsia="方正书宋_GBK"/>
                <w:sz w:val="24"/>
                <w:szCs w:val="24"/>
              </w:rPr>
            </w:pPr>
          </w:p>
        </w:tc>
        <w:tc>
          <w:tcPr>
            <w:tcW w:w="900"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10</w:t>
            </w:r>
          </w:p>
        </w:tc>
        <w:tc>
          <w:tcPr>
            <w:tcW w:w="904" w:type="dxa"/>
            <w:noWrap w:val="0"/>
            <w:tcMar>
              <w:top w:w="57" w:type="dxa"/>
              <w:left w:w="85" w:type="dxa"/>
              <w:bottom w:w="57" w:type="dxa"/>
              <w:right w:w="85" w:type="dxa"/>
            </w:tcMar>
            <w:vAlign w:val="center"/>
          </w:tcPr>
          <w:p>
            <w:pPr>
              <w:jc w:val="center"/>
              <w:rPr>
                <w:rFonts w:eastAsia="方正书宋_GBK"/>
                <w:sz w:val="24"/>
                <w:szCs w:val="24"/>
              </w:rPr>
            </w:pPr>
            <w:r>
              <w:rPr>
                <w:rFonts w:eastAsia="方正书宋_GBK"/>
                <w:sz w:val="24"/>
                <w:szCs w:val="24"/>
              </w:rPr>
              <w:t>50</w:t>
            </w:r>
          </w:p>
        </w:tc>
        <w:tc>
          <w:tcPr>
            <w:tcW w:w="0" w:type="auto"/>
            <w:vMerge w:val="continue"/>
            <w:noWrap w:val="0"/>
            <w:tcMar>
              <w:top w:w="57" w:type="dxa"/>
              <w:left w:w="85" w:type="dxa"/>
              <w:bottom w:w="57" w:type="dxa"/>
              <w:right w:w="85" w:type="dxa"/>
            </w:tcMar>
            <w:vAlign w:val="center"/>
          </w:tcPr>
          <w:p>
            <w:pPr>
              <w:rPr>
                <w:rFonts w:eastAsia="方正书宋_GBK"/>
                <w:sz w:val="24"/>
                <w:szCs w:val="24"/>
              </w:rPr>
            </w:pPr>
          </w:p>
        </w:tc>
      </w:tr>
    </w:tbl>
    <w:p>
      <w:pPr>
        <w:pBdr>
          <w:top w:val="single" w:color="auto" w:sz="8" w:space="1"/>
        </w:pBdr>
        <w:tabs>
          <w:tab w:val="left" w:pos="3063"/>
        </w:tabs>
        <w:rPr>
          <w:rFonts w:hint="eastAsia" w:eastAsia="方正仿宋_GBK"/>
          <w:lang w:eastAsia="zh-CN"/>
        </w:rPr>
      </w:pPr>
      <w:r>
        <w:rPr>
          <w:rFonts w:hint="eastAsia" w:eastAsia="方正黑体_GBK"/>
          <w:sz w:val="24"/>
          <w:szCs w:val="24"/>
        </w:rPr>
        <w:t>注</w:t>
      </w:r>
      <w:r>
        <w:rPr>
          <w:rFonts w:hint="eastAsia" w:eastAsia="方正书宋_GBK"/>
          <w:sz w:val="24"/>
          <w:szCs w:val="24"/>
        </w:rPr>
        <w:t>：市政府其他部门按照各自职能职责推动各项标准化工作</w:t>
      </w:r>
      <w:r>
        <w:rPr>
          <w:rFonts w:hint="eastAsia" w:eastAsia="方正书宋_GBK"/>
          <w:sz w:val="24"/>
          <w:szCs w:val="24"/>
          <w:lang w:eastAsia="zh-CN"/>
        </w:rPr>
        <w:t>。</w:t>
      </w:r>
    </w:p>
    <w:sectPr>
      <w:footerReference r:id="rId3" w:type="default"/>
      <w:footerReference r:id="rId4" w:type="even"/>
      <w:pgSz w:w="11906" w:h="16838"/>
      <w:pgMar w:top="2098" w:right="1531" w:bottom="1985" w:left="1531" w:header="851" w:footer="1474"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20</w:t>
    </w:r>
    <w:r>
      <w:rPr>
        <w:kern w:val="0"/>
        <w:sz w:val="28"/>
      </w:rPr>
      <w:fldChar w:fldCharType="end"/>
    </w:r>
    <w:r>
      <w:rPr>
        <w:kern w:val="0"/>
        <w:sz w:val="28"/>
      </w:rPr>
      <w:t xml:space="preserve"> </w:t>
    </w:r>
    <w:r>
      <w:rPr>
        <w:rStyle w:val="9"/>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B9"/>
    <w:rsid w:val="00000382"/>
    <w:rsid w:val="00001049"/>
    <w:rsid w:val="000010EA"/>
    <w:rsid w:val="00002FEF"/>
    <w:rsid w:val="00003093"/>
    <w:rsid w:val="0000329F"/>
    <w:rsid w:val="000034CC"/>
    <w:rsid w:val="00007FC6"/>
    <w:rsid w:val="000116DA"/>
    <w:rsid w:val="000126CE"/>
    <w:rsid w:val="00013335"/>
    <w:rsid w:val="000138C4"/>
    <w:rsid w:val="00014B91"/>
    <w:rsid w:val="00015E64"/>
    <w:rsid w:val="00016A91"/>
    <w:rsid w:val="00017121"/>
    <w:rsid w:val="000203A4"/>
    <w:rsid w:val="0002067F"/>
    <w:rsid w:val="00020E08"/>
    <w:rsid w:val="0002225C"/>
    <w:rsid w:val="0002331B"/>
    <w:rsid w:val="0002417D"/>
    <w:rsid w:val="0002491C"/>
    <w:rsid w:val="00024B01"/>
    <w:rsid w:val="00025748"/>
    <w:rsid w:val="00025788"/>
    <w:rsid w:val="00026F0E"/>
    <w:rsid w:val="000274E9"/>
    <w:rsid w:val="00027A8B"/>
    <w:rsid w:val="00030168"/>
    <w:rsid w:val="00031173"/>
    <w:rsid w:val="00031C22"/>
    <w:rsid w:val="000326DF"/>
    <w:rsid w:val="00032972"/>
    <w:rsid w:val="00032977"/>
    <w:rsid w:val="00032B25"/>
    <w:rsid w:val="00033BC7"/>
    <w:rsid w:val="00034376"/>
    <w:rsid w:val="00035DBC"/>
    <w:rsid w:val="00035E05"/>
    <w:rsid w:val="0003641C"/>
    <w:rsid w:val="00036919"/>
    <w:rsid w:val="00036EE6"/>
    <w:rsid w:val="00037023"/>
    <w:rsid w:val="0003714B"/>
    <w:rsid w:val="0004032B"/>
    <w:rsid w:val="000405D6"/>
    <w:rsid w:val="000415C6"/>
    <w:rsid w:val="00041B53"/>
    <w:rsid w:val="00041E75"/>
    <w:rsid w:val="0004373C"/>
    <w:rsid w:val="00043866"/>
    <w:rsid w:val="00043AB3"/>
    <w:rsid w:val="000446DF"/>
    <w:rsid w:val="00045098"/>
    <w:rsid w:val="000456BE"/>
    <w:rsid w:val="000460AE"/>
    <w:rsid w:val="000476FF"/>
    <w:rsid w:val="000500A7"/>
    <w:rsid w:val="00051EA7"/>
    <w:rsid w:val="00053D37"/>
    <w:rsid w:val="000547A5"/>
    <w:rsid w:val="00055746"/>
    <w:rsid w:val="000568FF"/>
    <w:rsid w:val="00056F10"/>
    <w:rsid w:val="00057F7E"/>
    <w:rsid w:val="0006011B"/>
    <w:rsid w:val="00060328"/>
    <w:rsid w:val="000604B2"/>
    <w:rsid w:val="0006085E"/>
    <w:rsid w:val="00060E1C"/>
    <w:rsid w:val="00062B3C"/>
    <w:rsid w:val="00063AD5"/>
    <w:rsid w:val="00063D1B"/>
    <w:rsid w:val="00064021"/>
    <w:rsid w:val="000650C9"/>
    <w:rsid w:val="00065EDA"/>
    <w:rsid w:val="000660AB"/>
    <w:rsid w:val="00066A54"/>
    <w:rsid w:val="00066D40"/>
    <w:rsid w:val="00067F0D"/>
    <w:rsid w:val="00070408"/>
    <w:rsid w:val="000711B0"/>
    <w:rsid w:val="000713E8"/>
    <w:rsid w:val="00071445"/>
    <w:rsid w:val="000714DF"/>
    <w:rsid w:val="00071E64"/>
    <w:rsid w:val="0007237E"/>
    <w:rsid w:val="000729F4"/>
    <w:rsid w:val="000736B4"/>
    <w:rsid w:val="000749FB"/>
    <w:rsid w:val="00074BB1"/>
    <w:rsid w:val="000756C2"/>
    <w:rsid w:val="000761F2"/>
    <w:rsid w:val="000767F3"/>
    <w:rsid w:val="00076AD5"/>
    <w:rsid w:val="00077E38"/>
    <w:rsid w:val="000811C0"/>
    <w:rsid w:val="00082A6F"/>
    <w:rsid w:val="00084781"/>
    <w:rsid w:val="00084B8C"/>
    <w:rsid w:val="0008534E"/>
    <w:rsid w:val="000858A8"/>
    <w:rsid w:val="00090B68"/>
    <w:rsid w:val="00091529"/>
    <w:rsid w:val="00091E10"/>
    <w:rsid w:val="00093C5E"/>
    <w:rsid w:val="0009670D"/>
    <w:rsid w:val="00096A73"/>
    <w:rsid w:val="00096AB3"/>
    <w:rsid w:val="00097BAA"/>
    <w:rsid w:val="000A29C4"/>
    <w:rsid w:val="000A4164"/>
    <w:rsid w:val="000A476C"/>
    <w:rsid w:val="000A4A97"/>
    <w:rsid w:val="000A4C0D"/>
    <w:rsid w:val="000A7420"/>
    <w:rsid w:val="000A79DD"/>
    <w:rsid w:val="000A7A95"/>
    <w:rsid w:val="000B1CE9"/>
    <w:rsid w:val="000B29DB"/>
    <w:rsid w:val="000B3C86"/>
    <w:rsid w:val="000B43B8"/>
    <w:rsid w:val="000B4781"/>
    <w:rsid w:val="000B4805"/>
    <w:rsid w:val="000B4E79"/>
    <w:rsid w:val="000B5FDB"/>
    <w:rsid w:val="000B640D"/>
    <w:rsid w:val="000B6C65"/>
    <w:rsid w:val="000B7B3D"/>
    <w:rsid w:val="000C06AD"/>
    <w:rsid w:val="000C2038"/>
    <w:rsid w:val="000C2609"/>
    <w:rsid w:val="000C3C38"/>
    <w:rsid w:val="000C462F"/>
    <w:rsid w:val="000C4ACE"/>
    <w:rsid w:val="000C566F"/>
    <w:rsid w:val="000C5FF3"/>
    <w:rsid w:val="000C622A"/>
    <w:rsid w:val="000C6AF8"/>
    <w:rsid w:val="000C6B0C"/>
    <w:rsid w:val="000C6B21"/>
    <w:rsid w:val="000C702E"/>
    <w:rsid w:val="000C7DF8"/>
    <w:rsid w:val="000D002E"/>
    <w:rsid w:val="000D2B51"/>
    <w:rsid w:val="000D2C2B"/>
    <w:rsid w:val="000D37DF"/>
    <w:rsid w:val="000D3F02"/>
    <w:rsid w:val="000D4445"/>
    <w:rsid w:val="000D5654"/>
    <w:rsid w:val="000D6290"/>
    <w:rsid w:val="000D6346"/>
    <w:rsid w:val="000D63AE"/>
    <w:rsid w:val="000D70C0"/>
    <w:rsid w:val="000E0E10"/>
    <w:rsid w:val="000E0E39"/>
    <w:rsid w:val="000E2094"/>
    <w:rsid w:val="000E25BA"/>
    <w:rsid w:val="000E2E8F"/>
    <w:rsid w:val="000E3696"/>
    <w:rsid w:val="000E3BFD"/>
    <w:rsid w:val="000E4297"/>
    <w:rsid w:val="000E4449"/>
    <w:rsid w:val="000E4950"/>
    <w:rsid w:val="000E4D7E"/>
    <w:rsid w:val="000E5323"/>
    <w:rsid w:val="000E534A"/>
    <w:rsid w:val="000E5516"/>
    <w:rsid w:val="000E5BF4"/>
    <w:rsid w:val="000E6487"/>
    <w:rsid w:val="000F045B"/>
    <w:rsid w:val="000F2923"/>
    <w:rsid w:val="000F408E"/>
    <w:rsid w:val="000F51C7"/>
    <w:rsid w:val="000F54A2"/>
    <w:rsid w:val="000F5717"/>
    <w:rsid w:val="000F6623"/>
    <w:rsid w:val="000F6C37"/>
    <w:rsid w:val="001004CE"/>
    <w:rsid w:val="001007FC"/>
    <w:rsid w:val="00103CDD"/>
    <w:rsid w:val="001046A2"/>
    <w:rsid w:val="00105B32"/>
    <w:rsid w:val="00105E16"/>
    <w:rsid w:val="00106901"/>
    <w:rsid w:val="00106917"/>
    <w:rsid w:val="001112CF"/>
    <w:rsid w:val="0011145F"/>
    <w:rsid w:val="00112FC5"/>
    <w:rsid w:val="00112FCA"/>
    <w:rsid w:val="00113397"/>
    <w:rsid w:val="00113DBB"/>
    <w:rsid w:val="0011527B"/>
    <w:rsid w:val="001164B0"/>
    <w:rsid w:val="0011669C"/>
    <w:rsid w:val="00116A32"/>
    <w:rsid w:val="00117C3E"/>
    <w:rsid w:val="001200E7"/>
    <w:rsid w:val="0012281A"/>
    <w:rsid w:val="00122F31"/>
    <w:rsid w:val="001230FC"/>
    <w:rsid w:val="00123D1B"/>
    <w:rsid w:val="00123DC4"/>
    <w:rsid w:val="00123F72"/>
    <w:rsid w:val="00125DB4"/>
    <w:rsid w:val="00125E3B"/>
    <w:rsid w:val="0012609C"/>
    <w:rsid w:val="00126520"/>
    <w:rsid w:val="00126552"/>
    <w:rsid w:val="00127557"/>
    <w:rsid w:val="00127795"/>
    <w:rsid w:val="001305A7"/>
    <w:rsid w:val="00130780"/>
    <w:rsid w:val="00130D1A"/>
    <w:rsid w:val="0013201D"/>
    <w:rsid w:val="00132A20"/>
    <w:rsid w:val="00132C70"/>
    <w:rsid w:val="0013570B"/>
    <w:rsid w:val="00137658"/>
    <w:rsid w:val="0014002A"/>
    <w:rsid w:val="00140220"/>
    <w:rsid w:val="001411E4"/>
    <w:rsid w:val="00141AA8"/>
    <w:rsid w:val="00142AA9"/>
    <w:rsid w:val="00143A8B"/>
    <w:rsid w:val="00144E04"/>
    <w:rsid w:val="00145DF4"/>
    <w:rsid w:val="00145E1D"/>
    <w:rsid w:val="00145F70"/>
    <w:rsid w:val="0014704A"/>
    <w:rsid w:val="001504C2"/>
    <w:rsid w:val="001508A5"/>
    <w:rsid w:val="001509A5"/>
    <w:rsid w:val="00150F1E"/>
    <w:rsid w:val="00151AD9"/>
    <w:rsid w:val="0015281B"/>
    <w:rsid w:val="0015389A"/>
    <w:rsid w:val="00153916"/>
    <w:rsid w:val="00153A3D"/>
    <w:rsid w:val="00153CB5"/>
    <w:rsid w:val="00155776"/>
    <w:rsid w:val="0015638C"/>
    <w:rsid w:val="0015694C"/>
    <w:rsid w:val="001574ED"/>
    <w:rsid w:val="00157736"/>
    <w:rsid w:val="00160D12"/>
    <w:rsid w:val="00160E8A"/>
    <w:rsid w:val="00160F7A"/>
    <w:rsid w:val="0016117E"/>
    <w:rsid w:val="00162C80"/>
    <w:rsid w:val="00162E20"/>
    <w:rsid w:val="00163BE4"/>
    <w:rsid w:val="001644EB"/>
    <w:rsid w:val="00166911"/>
    <w:rsid w:val="00166EAB"/>
    <w:rsid w:val="00167B53"/>
    <w:rsid w:val="00170024"/>
    <w:rsid w:val="001700CA"/>
    <w:rsid w:val="00170182"/>
    <w:rsid w:val="001713E4"/>
    <w:rsid w:val="001719B5"/>
    <w:rsid w:val="00171FC6"/>
    <w:rsid w:val="00172761"/>
    <w:rsid w:val="001728AD"/>
    <w:rsid w:val="001739C3"/>
    <w:rsid w:val="00175C23"/>
    <w:rsid w:val="001766D4"/>
    <w:rsid w:val="0017677B"/>
    <w:rsid w:val="00176CC4"/>
    <w:rsid w:val="00177D4D"/>
    <w:rsid w:val="00180B55"/>
    <w:rsid w:val="00181168"/>
    <w:rsid w:val="00181320"/>
    <w:rsid w:val="00182365"/>
    <w:rsid w:val="0018314D"/>
    <w:rsid w:val="001853E1"/>
    <w:rsid w:val="001857A7"/>
    <w:rsid w:val="00185819"/>
    <w:rsid w:val="00185C28"/>
    <w:rsid w:val="00186231"/>
    <w:rsid w:val="001879A7"/>
    <w:rsid w:val="001908D9"/>
    <w:rsid w:val="00190910"/>
    <w:rsid w:val="00190B5C"/>
    <w:rsid w:val="0019155F"/>
    <w:rsid w:val="00192102"/>
    <w:rsid w:val="00192BD7"/>
    <w:rsid w:val="001944AB"/>
    <w:rsid w:val="001945AF"/>
    <w:rsid w:val="001950F3"/>
    <w:rsid w:val="001957E3"/>
    <w:rsid w:val="00195A77"/>
    <w:rsid w:val="00195B27"/>
    <w:rsid w:val="00195CD3"/>
    <w:rsid w:val="0019633C"/>
    <w:rsid w:val="0019660D"/>
    <w:rsid w:val="00196EAE"/>
    <w:rsid w:val="0019740A"/>
    <w:rsid w:val="00197446"/>
    <w:rsid w:val="001A0CE8"/>
    <w:rsid w:val="001A1132"/>
    <w:rsid w:val="001A14F6"/>
    <w:rsid w:val="001A35F7"/>
    <w:rsid w:val="001A368C"/>
    <w:rsid w:val="001A3884"/>
    <w:rsid w:val="001A3C53"/>
    <w:rsid w:val="001A3EB5"/>
    <w:rsid w:val="001A3EDE"/>
    <w:rsid w:val="001A40F4"/>
    <w:rsid w:val="001A4E16"/>
    <w:rsid w:val="001A777B"/>
    <w:rsid w:val="001A7A19"/>
    <w:rsid w:val="001A7BC4"/>
    <w:rsid w:val="001B1573"/>
    <w:rsid w:val="001B1681"/>
    <w:rsid w:val="001B1985"/>
    <w:rsid w:val="001B232E"/>
    <w:rsid w:val="001B236F"/>
    <w:rsid w:val="001B2A4C"/>
    <w:rsid w:val="001B4843"/>
    <w:rsid w:val="001B5281"/>
    <w:rsid w:val="001B5978"/>
    <w:rsid w:val="001B5FA3"/>
    <w:rsid w:val="001B61D7"/>
    <w:rsid w:val="001B6981"/>
    <w:rsid w:val="001B796D"/>
    <w:rsid w:val="001C0AE4"/>
    <w:rsid w:val="001C0F98"/>
    <w:rsid w:val="001C2F6E"/>
    <w:rsid w:val="001C436D"/>
    <w:rsid w:val="001C43B5"/>
    <w:rsid w:val="001C4FC6"/>
    <w:rsid w:val="001C586A"/>
    <w:rsid w:val="001C69ED"/>
    <w:rsid w:val="001C6C63"/>
    <w:rsid w:val="001C6CE4"/>
    <w:rsid w:val="001C6D8F"/>
    <w:rsid w:val="001C7F40"/>
    <w:rsid w:val="001D01DF"/>
    <w:rsid w:val="001D0996"/>
    <w:rsid w:val="001D1249"/>
    <w:rsid w:val="001D1323"/>
    <w:rsid w:val="001D1889"/>
    <w:rsid w:val="001D328C"/>
    <w:rsid w:val="001D468F"/>
    <w:rsid w:val="001D5E2D"/>
    <w:rsid w:val="001D6275"/>
    <w:rsid w:val="001D735E"/>
    <w:rsid w:val="001D75CD"/>
    <w:rsid w:val="001D7777"/>
    <w:rsid w:val="001E0F86"/>
    <w:rsid w:val="001E14DC"/>
    <w:rsid w:val="001E1567"/>
    <w:rsid w:val="001E3E01"/>
    <w:rsid w:val="001E3EBD"/>
    <w:rsid w:val="001E5DD4"/>
    <w:rsid w:val="001E6849"/>
    <w:rsid w:val="001E7EA3"/>
    <w:rsid w:val="001F2031"/>
    <w:rsid w:val="001F3177"/>
    <w:rsid w:val="001F345D"/>
    <w:rsid w:val="001F467B"/>
    <w:rsid w:val="001F4DA6"/>
    <w:rsid w:val="001F5290"/>
    <w:rsid w:val="001F5A35"/>
    <w:rsid w:val="001F5B1E"/>
    <w:rsid w:val="001F5EDD"/>
    <w:rsid w:val="001F6064"/>
    <w:rsid w:val="001F6855"/>
    <w:rsid w:val="001F68E9"/>
    <w:rsid w:val="001F6DA4"/>
    <w:rsid w:val="001F7104"/>
    <w:rsid w:val="001F76DB"/>
    <w:rsid w:val="00200EFD"/>
    <w:rsid w:val="002010BC"/>
    <w:rsid w:val="0020136C"/>
    <w:rsid w:val="00203438"/>
    <w:rsid w:val="00203F5A"/>
    <w:rsid w:val="002043BC"/>
    <w:rsid w:val="002045EA"/>
    <w:rsid w:val="00204C4A"/>
    <w:rsid w:val="002052BE"/>
    <w:rsid w:val="00206690"/>
    <w:rsid w:val="00206785"/>
    <w:rsid w:val="0021037F"/>
    <w:rsid w:val="002103C1"/>
    <w:rsid w:val="00210B1E"/>
    <w:rsid w:val="00210F81"/>
    <w:rsid w:val="0021125A"/>
    <w:rsid w:val="002130E8"/>
    <w:rsid w:val="002137BE"/>
    <w:rsid w:val="0021392F"/>
    <w:rsid w:val="002139BB"/>
    <w:rsid w:val="002140CF"/>
    <w:rsid w:val="002140D8"/>
    <w:rsid w:val="0021452E"/>
    <w:rsid w:val="00214A94"/>
    <w:rsid w:val="00214C38"/>
    <w:rsid w:val="00215824"/>
    <w:rsid w:val="002166FA"/>
    <w:rsid w:val="00216C56"/>
    <w:rsid w:val="0021707D"/>
    <w:rsid w:val="002172AB"/>
    <w:rsid w:val="00220483"/>
    <w:rsid w:val="0022084D"/>
    <w:rsid w:val="00220DF3"/>
    <w:rsid w:val="002220F6"/>
    <w:rsid w:val="00222EB0"/>
    <w:rsid w:val="0022355D"/>
    <w:rsid w:val="00224040"/>
    <w:rsid w:val="00224147"/>
    <w:rsid w:val="0022439F"/>
    <w:rsid w:val="00224BAE"/>
    <w:rsid w:val="00226E2F"/>
    <w:rsid w:val="00226F05"/>
    <w:rsid w:val="00226F12"/>
    <w:rsid w:val="0023028B"/>
    <w:rsid w:val="002316B7"/>
    <w:rsid w:val="00231756"/>
    <w:rsid w:val="00233D95"/>
    <w:rsid w:val="002348A7"/>
    <w:rsid w:val="002349EF"/>
    <w:rsid w:val="00235010"/>
    <w:rsid w:val="002355A5"/>
    <w:rsid w:val="00235D87"/>
    <w:rsid w:val="00236D56"/>
    <w:rsid w:val="00237E75"/>
    <w:rsid w:val="002428FF"/>
    <w:rsid w:val="00242AFD"/>
    <w:rsid w:val="00245352"/>
    <w:rsid w:val="0024553A"/>
    <w:rsid w:val="00245F32"/>
    <w:rsid w:val="0024609B"/>
    <w:rsid w:val="00247742"/>
    <w:rsid w:val="002501B7"/>
    <w:rsid w:val="00250412"/>
    <w:rsid w:val="00250D73"/>
    <w:rsid w:val="00251358"/>
    <w:rsid w:val="002513F1"/>
    <w:rsid w:val="00252965"/>
    <w:rsid w:val="0025354C"/>
    <w:rsid w:val="00253F0A"/>
    <w:rsid w:val="00256678"/>
    <w:rsid w:val="00256BF1"/>
    <w:rsid w:val="00257070"/>
    <w:rsid w:val="00257468"/>
    <w:rsid w:val="00261C55"/>
    <w:rsid w:val="0026223F"/>
    <w:rsid w:val="0026233C"/>
    <w:rsid w:val="00262E69"/>
    <w:rsid w:val="0026342D"/>
    <w:rsid w:val="002639F5"/>
    <w:rsid w:val="00264224"/>
    <w:rsid w:val="002645C6"/>
    <w:rsid w:val="002649B0"/>
    <w:rsid w:val="0026522D"/>
    <w:rsid w:val="00265878"/>
    <w:rsid w:val="002669DB"/>
    <w:rsid w:val="002678DD"/>
    <w:rsid w:val="00267B54"/>
    <w:rsid w:val="00270AF8"/>
    <w:rsid w:val="00271221"/>
    <w:rsid w:val="002714EA"/>
    <w:rsid w:val="00271879"/>
    <w:rsid w:val="00273311"/>
    <w:rsid w:val="0027350D"/>
    <w:rsid w:val="00274215"/>
    <w:rsid w:val="00274ADA"/>
    <w:rsid w:val="00275090"/>
    <w:rsid w:val="00275E5C"/>
    <w:rsid w:val="0027657C"/>
    <w:rsid w:val="002802D2"/>
    <w:rsid w:val="002813CC"/>
    <w:rsid w:val="00281BDD"/>
    <w:rsid w:val="00282903"/>
    <w:rsid w:val="00282BC3"/>
    <w:rsid w:val="00282EF9"/>
    <w:rsid w:val="0028300F"/>
    <w:rsid w:val="002844FE"/>
    <w:rsid w:val="0028529E"/>
    <w:rsid w:val="00286498"/>
    <w:rsid w:val="00286A43"/>
    <w:rsid w:val="002876B8"/>
    <w:rsid w:val="0028784F"/>
    <w:rsid w:val="00290500"/>
    <w:rsid w:val="00290A76"/>
    <w:rsid w:val="00290D50"/>
    <w:rsid w:val="0029229C"/>
    <w:rsid w:val="002929A2"/>
    <w:rsid w:val="00292AD6"/>
    <w:rsid w:val="00293175"/>
    <w:rsid w:val="002936E1"/>
    <w:rsid w:val="00293947"/>
    <w:rsid w:val="00293FB4"/>
    <w:rsid w:val="00294488"/>
    <w:rsid w:val="00294F1E"/>
    <w:rsid w:val="00295192"/>
    <w:rsid w:val="00295286"/>
    <w:rsid w:val="00295FDC"/>
    <w:rsid w:val="0029604E"/>
    <w:rsid w:val="002963BC"/>
    <w:rsid w:val="002971AF"/>
    <w:rsid w:val="002A04DB"/>
    <w:rsid w:val="002A05F8"/>
    <w:rsid w:val="002A0D42"/>
    <w:rsid w:val="002A0EE7"/>
    <w:rsid w:val="002A1DED"/>
    <w:rsid w:val="002A1ED7"/>
    <w:rsid w:val="002A2C81"/>
    <w:rsid w:val="002A3585"/>
    <w:rsid w:val="002A43DF"/>
    <w:rsid w:val="002A452E"/>
    <w:rsid w:val="002A5632"/>
    <w:rsid w:val="002A69F6"/>
    <w:rsid w:val="002A7176"/>
    <w:rsid w:val="002A7345"/>
    <w:rsid w:val="002A76C4"/>
    <w:rsid w:val="002A7912"/>
    <w:rsid w:val="002A7DDE"/>
    <w:rsid w:val="002B112B"/>
    <w:rsid w:val="002B190E"/>
    <w:rsid w:val="002B22CF"/>
    <w:rsid w:val="002B2343"/>
    <w:rsid w:val="002B2777"/>
    <w:rsid w:val="002B4A7E"/>
    <w:rsid w:val="002B4DD9"/>
    <w:rsid w:val="002B5D64"/>
    <w:rsid w:val="002B789A"/>
    <w:rsid w:val="002B7A47"/>
    <w:rsid w:val="002C1C83"/>
    <w:rsid w:val="002C293B"/>
    <w:rsid w:val="002C367E"/>
    <w:rsid w:val="002C4BFF"/>
    <w:rsid w:val="002C5979"/>
    <w:rsid w:val="002C667B"/>
    <w:rsid w:val="002C764D"/>
    <w:rsid w:val="002C79F6"/>
    <w:rsid w:val="002C7E67"/>
    <w:rsid w:val="002C7F05"/>
    <w:rsid w:val="002D00D5"/>
    <w:rsid w:val="002D1241"/>
    <w:rsid w:val="002D302A"/>
    <w:rsid w:val="002D3260"/>
    <w:rsid w:val="002D3AF1"/>
    <w:rsid w:val="002D3EE5"/>
    <w:rsid w:val="002D545B"/>
    <w:rsid w:val="002D5F2D"/>
    <w:rsid w:val="002D6C59"/>
    <w:rsid w:val="002D72C0"/>
    <w:rsid w:val="002E0916"/>
    <w:rsid w:val="002E11ED"/>
    <w:rsid w:val="002E14C5"/>
    <w:rsid w:val="002E1618"/>
    <w:rsid w:val="002E335A"/>
    <w:rsid w:val="002E33CA"/>
    <w:rsid w:val="002E3E9F"/>
    <w:rsid w:val="002E47E4"/>
    <w:rsid w:val="002E4F84"/>
    <w:rsid w:val="002E5373"/>
    <w:rsid w:val="002E5987"/>
    <w:rsid w:val="002E5E4E"/>
    <w:rsid w:val="002E668E"/>
    <w:rsid w:val="002E6E3E"/>
    <w:rsid w:val="002E792F"/>
    <w:rsid w:val="002F07E9"/>
    <w:rsid w:val="002F0EDC"/>
    <w:rsid w:val="002F1C37"/>
    <w:rsid w:val="002F3584"/>
    <w:rsid w:val="002F36B6"/>
    <w:rsid w:val="002F413F"/>
    <w:rsid w:val="002F42F3"/>
    <w:rsid w:val="002F5166"/>
    <w:rsid w:val="002F7604"/>
    <w:rsid w:val="002F7853"/>
    <w:rsid w:val="002F78BD"/>
    <w:rsid w:val="002F7CF4"/>
    <w:rsid w:val="003001CF"/>
    <w:rsid w:val="003009B7"/>
    <w:rsid w:val="003018F7"/>
    <w:rsid w:val="00301A7E"/>
    <w:rsid w:val="0030201F"/>
    <w:rsid w:val="00302648"/>
    <w:rsid w:val="003039C0"/>
    <w:rsid w:val="00303C6A"/>
    <w:rsid w:val="00304155"/>
    <w:rsid w:val="00306347"/>
    <w:rsid w:val="00306E1E"/>
    <w:rsid w:val="00307314"/>
    <w:rsid w:val="00307EB1"/>
    <w:rsid w:val="003102BA"/>
    <w:rsid w:val="00310668"/>
    <w:rsid w:val="0031242A"/>
    <w:rsid w:val="00312653"/>
    <w:rsid w:val="00312B2A"/>
    <w:rsid w:val="00313459"/>
    <w:rsid w:val="00314E9E"/>
    <w:rsid w:val="00315B60"/>
    <w:rsid w:val="00315C61"/>
    <w:rsid w:val="00315E67"/>
    <w:rsid w:val="003163AE"/>
    <w:rsid w:val="00316D18"/>
    <w:rsid w:val="0031771C"/>
    <w:rsid w:val="00317A16"/>
    <w:rsid w:val="00322F2B"/>
    <w:rsid w:val="00323594"/>
    <w:rsid w:val="003247B9"/>
    <w:rsid w:val="00325703"/>
    <w:rsid w:val="00325A30"/>
    <w:rsid w:val="00325B17"/>
    <w:rsid w:val="003274C9"/>
    <w:rsid w:val="00327FAD"/>
    <w:rsid w:val="00330574"/>
    <w:rsid w:val="0033165C"/>
    <w:rsid w:val="003319E3"/>
    <w:rsid w:val="00331F3D"/>
    <w:rsid w:val="00332A67"/>
    <w:rsid w:val="00333F1D"/>
    <w:rsid w:val="00336B22"/>
    <w:rsid w:val="00336BB1"/>
    <w:rsid w:val="00336D04"/>
    <w:rsid w:val="00336FE1"/>
    <w:rsid w:val="003378E9"/>
    <w:rsid w:val="00337FDB"/>
    <w:rsid w:val="0034039B"/>
    <w:rsid w:val="00340685"/>
    <w:rsid w:val="00340944"/>
    <w:rsid w:val="003422A9"/>
    <w:rsid w:val="003428AA"/>
    <w:rsid w:val="00342B1E"/>
    <w:rsid w:val="00342E65"/>
    <w:rsid w:val="003444CD"/>
    <w:rsid w:val="003449D0"/>
    <w:rsid w:val="00344BEE"/>
    <w:rsid w:val="00346317"/>
    <w:rsid w:val="00346C10"/>
    <w:rsid w:val="00350AC3"/>
    <w:rsid w:val="00350DEA"/>
    <w:rsid w:val="003527D7"/>
    <w:rsid w:val="003530C5"/>
    <w:rsid w:val="00353CB5"/>
    <w:rsid w:val="00354D09"/>
    <w:rsid w:val="00355240"/>
    <w:rsid w:val="00355648"/>
    <w:rsid w:val="00355772"/>
    <w:rsid w:val="00355867"/>
    <w:rsid w:val="003570D8"/>
    <w:rsid w:val="0035731D"/>
    <w:rsid w:val="003573FE"/>
    <w:rsid w:val="0035758C"/>
    <w:rsid w:val="00357D61"/>
    <w:rsid w:val="0036009E"/>
    <w:rsid w:val="00360684"/>
    <w:rsid w:val="00360E8E"/>
    <w:rsid w:val="003611A8"/>
    <w:rsid w:val="0036123E"/>
    <w:rsid w:val="00363066"/>
    <w:rsid w:val="003650BA"/>
    <w:rsid w:val="00365DFE"/>
    <w:rsid w:val="003666DE"/>
    <w:rsid w:val="00371B13"/>
    <w:rsid w:val="00372810"/>
    <w:rsid w:val="0037355E"/>
    <w:rsid w:val="00376382"/>
    <w:rsid w:val="003765C1"/>
    <w:rsid w:val="003769BA"/>
    <w:rsid w:val="003770C7"/>
    <w:rsid w:val="0037719B"/>
    <w:rsid w:val="0037760C"/>
    <w:rsid w:val="003776F4"/>
    <w:rsid w:val="00380387"/>
    <w:rsid w:val="00380BB0"/>
    <w:rsid w:val="00380D5A"/>
    <w:rsid w:val="00380EB5"/>
    <w:rsid w:val="0038166B"/>
    <w:rsid w:val="00381C60"/>
    <w:rsid w:val="0038208F"/>
    <w:rsid w:val="00382D3B"/>
    <w:rsid w:val="00383C93"/>
    <w:rsid w:val="00384420"/>
    <w:rsid w:val="0038564B"/>
    <w:rsid w:val="00385BF6"/>
    <w:rsid w:val="00386525"/>
    <w:rsid w:val="0038719C"/>
    <w:rsid w:val="00387819"/>
    <w:rsid w:val="00390286"/>
    <w:rsid w:val="003903E3"/>
    <w:rsid w:val="00390A3D"/>
    <w:rsid w:val="00390D7B"/>
    <w:rsid w:val="003913B2"/>
    <w:rsid w:val="003913F0"/>
    <w:rsid w:val="00392691"/>
    <w:rsid w:val="00392F1C"/>
    <w:rsid w:val="003932E4"/>
    <w:rsid w:val="003946EF"/>
    <w:rsid w:val="00394FA2"/>
    <w:rsid w:val="00395386"/>
    <w:rsid w:val="003958FD"/>
    <w:rsid w:val="00395F25"/>
    <w:rsid w:val="00397429"/>
    <w:rsid w:val="003A09FD"/>
    <w:rsid w:val="003A0AAA"/>
    <w:rsid w:val="003A2451"/>
    <w:rsid w:val="003A29DE"/>
    <w:rsid w:val="003A365E"/>
    <w:rsid w:val="003A3CA9"/>
    <w:rsid w:val="003A4168"/>
    <w:rsid w:val="003A5412"/>
    <w:rsid w:val="003A54DB"/>
    <w:rsid w:val="003A6062"/>
    <w:rsid w:val="003A6D3E"/>
    <w:rsid w:val="003A7B14"/>
    <w:rsid w:val="003A7F10"/>
    <w:rsid w:val="003B0E40"/>
    <w:rsid w:val="003B19D1"/>
    <w:rsid w:val="003B1F9E"/>
    <w:rsid w:val="003B3200"/>
    <w:rsid w:val="003B32E3"/>
    <w:rsid w:val="003B3D8A"/>
    <w:rsid w:val="003B42C6"/>
    <w:rsid w:val="003B4C88"/>
    <w:rsid w:val="003B4FE4"/>
    <w:rsid w:val="003B768E"/>
    <w:rsid w:val="003B7840"/>
    <w:rsid w:val="003B7CCB"/>
    <w:rsid w:val="003B7F20"/>
    <w:rsid w:val="003C0386"/>
    <w:rsid w:val="003C049C"/>
    <w:rsid w:val="003C0792"/>
    <w:rsid w:val="003C08FD"/>
    <w:rsid w:val="003C0A11"/>
    <w:rsid w:val="003C0DA0"/>
    <w:rsid w:val="003C1284"/>
    <w:rsid w:val="003C25C3"/>
    <w:rsid w:val="003C5DAC"/>
    <w:rsid w:val="003C730F"/>
    <w:rsid w:val="003D010F"/>
    <w:rsid w:val="003D3543"/>
    <w:rsid w:val="003D3ABF"/>
    <w:rsid w:val="003D483D"/>
    <w:rsid w:val="003D4EA3"/>
    <w:rsid w:val="003D5397"/>
    <w:rsid w:val="003D5597"/>
    <w:rsid w:val="003D5CA0"/>
    <w:rsid w:val="003D6141"/>
    <w:rsid w:val="003D61DD"/>
    <w:rsid w:val="003D65E1"/>
    <w:rsid w:val="003D70D7"/>
    <w:rsid w:val="003D7775"/>
    <w:rsid w:val="003E0FD8"/>
    <w:rsid w:val="003E1659"/>
    <w:rsid w:val="003E2B62"/>
    <w:rsid w:val="003E4469"/>
    <w:rsid w:val="003E766E"/>
    <w:rsid w:val="003E7F37"/>
    <w:rsid w:val="003F0225"/>
    <w:rsid w:val="003F0AA7"/>
    <w:rsid w:val="003F28E1"/>
    <w:rsid w:val="003F2B3D"/>
    <w:rsid w:val="003F3B4A"/>
    <w:rsid w:val="003F3D5B"/>
    <w:rsid w:val="003F4E5F"/>
    <w:rsid w:val="003F5E8A"/>
    <w:rsid w:val="003F6436"/>
    <w:rsid w:val="003F7939"/>
    <w:rsid w:val="004002C1"/>
    <w:rsid w:val="0040141A"/>
    <w:rsid w:val="00401638"/>
    <w:rsid w:val="00401F1C"/>
    <w:rsid w:val="00401FD1"/>
    <w:rsid w:val="004024F5"/>
    <w:rsid w:val="004035F1"/>
    <w:rsid w:val="0040452C"/>
    <w:rsid w:val="0040525B"/>
    <w:rsid w:val="0040566F"/>
    <w:rsid w:val="00406782"/>
    <w:rsid w:val="00407B6E"/>
    <w:rsid w:val="004100DD"/>
    <w:rsid w:val="00410789"/>
    <w:rsid w:val="00411D13"/>
    <w:rsid w:val="00412AF6"/>
    <w:rsid w:val="00412BB8"/>
    <w:rsid w:val="004148F8"/>
    <w:rsid w:val="004151DE"/>
    <w:rsid w:val="0041595F"/>
    <w:rsid w:val="00415A2B"/>
    <w:rsid w:val="00415B16"/>
    <w:rsid w:val="00416796"/>
    <w:rsid w:val="00416C1B"/>
    <w:rsid w:val="00416E30"/>
    <w:rsid w:val="004171DD"/>
    <w:rsid w:val="00420CBC"/>
    <w:rsid w:val="004213CC"/>
    <w:rsid w:val="004219C4"/>
    <w:rsid w:val="00422B22"/>
    <w:rsid w:val="00422ED4"/>
    <w:rsid w:val="0042331F"/>
    <w:rsid w:val="004242A4"/>
    <w:rsid w:val="00424E06"/>
    <w:rsid w:val="00425781"/>
    <w:rsid w:val="0042580B"/>
    <w:rsid w:val="00425F95"/>
    <w:rsid w:val="00426909"/>
    <w:rsid w:val="00426D21"/>
    <w:rsid w:val="004271EF"/>
    <w:rsid w:val="00430559"/>
    <w:rsid w:val="004320CB"/>
    <w:rsid w:val="00432138"/>
    <w:rsid w:val="00432546"/>
    <w:rsid w:val="00432DDA"/>
    <w:rsid w:val="004335E0"/>
    <w:rsid w:val="00433CAD"/>
    <w:rsid w:val="00436132"/>
    <w:rsid w:val="00436211"/>
    <w:rsid w:val="0043661F"/>
    <w:rsid w:val="004379C3"/>
    <w:rsid w:val="0044037B"/>
    <w:rsid w:val="00441FA2"/>
    <w:rsid w:val="004422E1"/>
    <w:rsid w:val="00442BEA"/>
    <w:rsid w:val="00443407"/>
    <w:rsid w:val="00445159"/>
    <w:rsid w:val="00446F3A"/>
    <w:rsid w:val="00451491"/>
    <w:rsid w:val="00452360"/>
    <w:rsid w:val="00452A7D"/>
    <w:rsid w:val="0045545E"/>
    <w:rsid w:val="00455972"/>
    <w:rsid w:val="004563B2"/>
    <w:rsid w:val="00456993"/>
    <w:rsid w:val="00456F24"/>
    <w:rsid w:val="00456FE6"/>
    <w:rsid w:val="00460C29"/>
    <w:rsid w:val="004648E5"/>
    <w:rsid w:val="00466CDC"/>
    <w:rsid w:val="00466D22"/>
    <w:rsid w:val="004670BA"/>
    <w:rsid w:val="004672B0"/>
    <w:rsid w:val="0047035B"/>
    <w:rsid w:val="00470463"/>
    <w:rsid w:val="004707C9"/>
    <w:rsid w:val="00472AA6"/>
    <w:rsid w:val="004730AE"/>
    <w:rsid w:val="004735E9"/>
    <w:rsid w:val="00473DA3"/>
    <w:rsid w:val="00474D30"/>
    <w:rsid w:val="00474F2E"/>
    <w:rsid w:val="004756FE"/>
    <w:rsid w:val="004757BD"/>
    <w:rsid w:val="004757F9"/>
    <w:rsid w:val="00475856"/>
    <w:rsid w:val="004758EF"/>
    <w:rsid w:val="00475D23"/>
    <w:rsid w:val="0047618E"/>
    <w:rsid w:val="0047687C"/>
    <w:rsid w:val="00476FEC"/>
    <w:rsid w:val="00480ADB"/>
    <w:rsid w:val="004813F7"/>
    <w:rsid w:val="00482441"/>
    <w:rsid w:val="0048479F"/>
    <w:rsid w:val="00484A69"/>
    <w:rsid w:val="00484B53"/>
    <w:rsid w:val="004853DF"/>
    <w:rsid w:val="0048562D"/>
    <w:rsid w:val="00485A1A"/>
    <w:rsid w:val="00486113"/>
    <w:rsid w:val="00486B4A"/>
    <w:rsid w:val="00486C96"/>
    <w:rsid w:val="0048721A"/>
    <w:rsid w:val="00487395"/>
    <w:rsid w:val="00487656"/>
    <w:rsid w:val="00490890"/>
    <w:rsid w:val="004918FD"/>
    <w:rsid w:val="00493354"/>
    <w:rsid w:val="0049364D"/>
    <w:rsid w:val="00493A13"/>
    <w:rsid w:val="0049578F"/>
    <w:rsid w:val="0049699F"/>
    <w:rsid w:val="00497655"/>
    <w:rsid w:val="004A1974"/>
    <w:rsid w:val="004A19AC"/>
    <w:rsid w:val="004A1B93"/>
    <w:rsid w:val="004A22B3"/>
    <w:rsid w:val="004A276A"/>
    <w:rsid w:val="004A27F8"/>
    <w:rsid w:val="004A3298"/>
    <w:rsid w:val="004A4E91"/>
    <w:rsid w:val="004A5289"/>
    <w:rsid w:val="004A55B2"/>
    <w:rsid w:val="004A55BD"/>
    <w:rsid w:val="004A560E"/>
    <w:rsid w:val="004A5A3E"/>
    <w:rsid w:val="004A621C"/>
    <w:rsid w:val="004A64DD"/>
    <w:rsid w:val="004B00B2"/>
    <w:rsid w:val="004B034D"/>
    <w:rsid w:val="004B05C2"/>
    <w:rsid w:val="004B1AA9"/>
    <w:rsid w:val="004B1AE8"/>
    <w:rsid w:val="004B22A6"/>
    <w:rsid w:val="004B2A16"/>
    <w:rsid w:val="004B353B"/>
    <w:rsid w:val="004B4475"/>
    <w:rsid w:val="004B4E0A"/>
    <w:rsid w:val="004B6068"/>
    <w:rsid w:val="004B77ED"/>
    <w:rsid w:val="004B7E46"/>
    <w:rsid w:val="004C1BB7"/>
    <w:rsid w:val="004C2358"/>
    <w:rsid w:val="004C41E9"/>
    <w:rsid w:val="004C602E"/>
    <w:rsid w:val="004C6C3F"/>
    <w:rsid w:val="004D0001"/>
    <w:rsid w:val="004D025E"/>
    <w:rsid w:val="004D05A4"/>
    <w:rsid w:val="004D09D6"/>
    <w:rsid w:val="004D0C1A"/>
    <w:rsid w:val="004D18AB"/>
    <w:rsid w:val="004D2B5A"/>
    <w:rsid w:val="004D2FAE"/>
    <w:rsid w:val="004D37D9"/>
    <w:rsid w:val="004D4212"/>
    <w:rsid w:val="004D467C"/>
    <w:rsid w:val="004D53E2"/>
    <w:rsid w:val="004D6868"/>
    <w:rsid w:val="004E045E"/>
    <w:rsid w:val="004E076B"/>
    <w:rsid w:val="004E18E9"/>
    <w:rsid w:val="004E1ADC"/>
    <w:rsid w:val="004E1AF8"/>
    <w:rsid w:val="004E2003"/>
    <w:rsid w:val="004E2CD2"/>
    <w:rsid w:val="004E34B5"/>
    <w:rsid w:val="004E4451"/>
    <w:rsid w:val="004E47CF"/>
    <w:rsid w:val="004E48CE"/>
    <w:rsid w:val="004E4AB6"/>
    <w:rsid w:val="004E4ACC"/>
    <w:rsid w:val="004E52A4"/>
    <w:rsid w:val="004E5B19"/>
    <w:rsid w:val="004E5EBE"/>
    <w:rsid w:val="004E6476"/>
    <w:rsid w:val="004E6492"/>
    <w:rsid w:val="004E6682"/>
    <w:rsid w:val="004F02D6"/>
    <w:rsid w:val="004F1785"/>
    <w:rsid w:val="004F2EF7"/>
    <w:rsid w:val="004F48D6"/>
    <w:rsid w:val="004F4E03"/>
    <w:rsid w:val="004F4E3A"/>
    <w:rsid w:val="004F4E6A"/>
    <w:rsid w:val="004F632C"/>
    <w:rsid w:val="004F7886"/>
    <w:rsid w:val="004F7D23"/>
    <w:rsid w:val="0050091E"/>
    <w:rsid w:val="0050163C"/>
    <w:rsid w:val="00501FED"/>
    <w:rsid w:val="0050385F"/>
    <w:rsid w:val="00503AF5"/>
    <w:rsid w:val="0050495F"/>
    <w:rsid w:val="00504BAE"/>
    <w:rsid w:val="00504D06"/>
    <w:rsid w:val="00505CF1"/>
    <w:rsid w:val="00506344"/>
    <w:rsid w:val="005063E2"/>
    <w:rsid w:val="005075C4"/>
    <w:rsid w:val="005100FB"/>
    <w:rsid w:val="00511CF8"/>
    <w:rsid w:val="00513E11"/>
    <w:rsid w:val="00514BBF"/>
    <w:rsid w:val="00514EC6"/>
    <w:rsid w:val="005176AE"/>
    <w:rsid w:val="00517738"/>
    <w:rsid w:val="00517C76"/>
    <w:rsid w:val="00520E66"/>
    <w:rsid w:val="00521D36"/>
    <w:rsid w:val="005232C4"/>
    <w:rsid w:val="00523D39"/>
    <w:rsid w:val="00525073"/>
    <w:rsid w:val="0052522F"/>
    <w:rsid w:val="00525F8A"/>
    <w:rsid w:val="00526832"/>
    <w:rsid w:val="00527BE2"/>
    <w:rsid w:val="00527C67"/>
    <w:rsid w:val="00532F0E"/>
    <w:rsid w:val="005334EF"/>
    <w:rsid w:val="0053391F"/>
    <w:rsid w:val="0053488A"/>
    <w:rsid w:val="00534AB0"/>
    <w:rsid w:val="005355AE"/>
    <w:rsid w:val="00536317"/>
    <w:rsid w:val="005434B9"/>
    <w:rsid w:val="00544048"/>
    <w:rsid w:val="0054409A"/>
    <w:rsid w:val="005456BB"/>
    <w:rsid w:val="005465D8"/>
    <w:rsid w:val="00546DFB"/>
    <w:rsid w:val="00550148"/>
    <w:rsid w:val="00551805"/>
    <w:rsid w:val="00552ABE"/>
    <w:rsid w:val="00553517"/>
    <w:rsid w:val="005537DE"/>
    <w:rsid w:val="005550A0"/>
    <w:rsid w:val="0055528E"/>
    <w:rsid w:val="00555808"/>
    <w:rsid w:val="00555C9A"/>
    <w:rsid w:val="005571B8"/>
    <w:rsid w:val="005574C5"/>
    <w:rsid w:val="005614E1"/>
    <w:rsid w:val="00561C11"/>
    <w:rsid w:val="00562800"/>
    <w:rsid w:val="00563159"/>
    <w:rsid w:val="005633B2"/>
    <w:rsid w:val="00563548"/>
    <w:rsid w:val="005645AA"/>
    <w:rsid w:val="005649E3"/>
    <w:rsid w:val="00564F93"/>
    <w:rsid w:val="00566C60"/>
    <w:rsid w:val="005674C4"/>
    <w:rsid w:val="00567AB2"/>
    <w:rsid w:val="00567E35"/>
    <w:rsid w:val="00567E6D"/>
    <w:rsid w:val="0057067B"/>
    <w:rsid w:val="005706C1"/>
    <w:rsid w:val="00570ECA"/>
    <w:rsid w:val="00571437"/>
    <w:rsid w:val="00571962"/>
    <w:rsid w:val="005720C3"/>
    <w:rsid w:val="00572219"/>
    <w:rsid w:val="005726F7"/>
    <w:rsid w:val="0057299E"/>
    <w:rsid w:val="0057311A"/>
    <w:rsid w:val="005735B2"/>
    <w:rsid w:val="005755E0"/>
    <w:rsid w:val="00575FE2"/>
    <w:rsid w:val="005768BB"/>
    <w:rsid w:val="005768CC"/>
    <w:rsid w:val="00576B02"/>
    <w:rsid w:val="00576BF2"/>
    <w:rsid w:val="00576C03"/>
    <w:rsid w:val="00577FBF"/>
    <w:rsid w:val="005804AA"/>
    <w:rsid w:val="0058062E"/>
    <w:rsid w:val="0058079C"/>
    <w:rsid w:val="005813FC"/>
    <w:rsid w:val="005820AD"/>
    <w:rsid w:val="00582E9D"/>
    <w:rsid w:val="00584AFF"/>
    <w:rsid w:val="00585948"/>
    <w:rsid w:val="00586EDE"/>
    <w:rsid w:val="00586EE6"/>
    <w:rsid w:val="00587BF5"/>
    <w:rsid w:val="00590A58"/>
    <w:rsid w:val="00590FF3"/>
    <w:rsid w:val="00591049"/>
    <w:rsid w:val="00591BE5"/>
    <w:rsid w:val="0059296C"/>
    <w:rsid w:val="005929C5"/>
    <w:rsid w:val="005935FE"/>
    <w:rsid w:val="00593B26"/>
    <w:rsid w:val="00594305"/>
    <w:rsid w:val="005948BB"/>
    <w:rsid w:val="00594943"/>
    <w:rsid w:val="00594FC3"/>
    <w:rsid w:val="00595909"/>
    <w:rsid w:val="00595EB6"/>
    <w:rsid w:val="00596392"/>
    <w:rsid w:val="005969E7"/>
    <w:rsid w:val="00596D4D"/>
    <w:rsid w:val="005977F2"/>
    <w:rsid w:val="005A047D"/>
    <w:rsid w:val="005A12EE"/>
    <w:rsid w:val="005A188A"/>
    <w:rsid w:val="005A1AB2"/>
    <w:rsid w:val="005A36D7"/>
    <w:rsid w:val="005A3F8B"/>
    <w:rsid w:val="005A458E"/>
    <w:rsid w:val="005A64BB"/>
    <w:rsid w:val="005A64F6"/>
    <w:rsid w:val="005A6F43"/>
    <w:rsid w:val="005A7DE1"/>
    <w:rsid w:val="005A7FF6"/>
    <w:rsid w:val="005B030E"/>
    <w:rsid w:val="005B0E4B"/>
    <w:rsid w:val="005B1590"/>
    <w:rsid w:val="005B1BF3"/>
    <w:rsid w:val="005B1C33"/>
    <w:rsid w:val="005B1FEB"/>
    <w:rsid w:val="005B2C85"/>
    <w:rsid w:val="005B2CD4"/>
    <w:rsid w:val="005B3681"/>
    <w:rsid w:val="005B565A"/>
    <w:rsid w:val="005B7102"/>
    <w:rsid w:val="005B7B9C"/>
    <w:rsid w:val="005C0ADA"/>
    <w:rsid w:val="005C176B"/>
    <w:rsid w:val="005C1ED2"/>
    <w:rsid w:val="005C31F3"/>
    <w:rsid w:val="005C361D"/>
    <w:rsid w:val="005C3DA5"/>
    <w:rsid w:val="005C5515"/>
    <w:rsid w:val="005C6ACB"/>
    <w:rsid w:val="005C771F"/>
    <w:rsid w:val="005D06DD"/>
    <w:rsid w:val="005D0710"/>
    <w:rsid w:val="005D0B0E"/>
    <w:rsid w:val="005D0CC6"/>
    <w:rsid w:val="005D114B"/>
    <w:rsid w:val="005D14F4"/>
    <w:rsid w:val="005D765C"/>
    <w:rsid w:val="005D7666"/>
    <w:rsid w:val="005D78D1"/>
    <w:rsid w:val="005E0117"/>
    <w:rsid w:val="005E03D7"/>
    <w:rsid w:val="005E062E"/>
    <w:rsid w:val="005E0BBE"/>
    <w:rsid w:val="005E13FA"/>
    <w:rsid w:val="005E2129"/>
    <w:rsid w:val="005E49F0"/>
    <w:rsid w:val="005E4D94"/>
    <w:rsid w:val="005E7FA4"/>
    <w:rsid w:val="005F01D9"/>
    <w:rsid w:val="005F2103"/>
    <w:rsid w:val="005F2796"/>
    <w:rsid w:val="005F3016"/>
    <w:rsid w:val="005F3FF9"/>
    <w:rsid w:val="005F4EF1"/>
    <w:rsid w:val="005F6171"/>
    <w:rsid w:val="005F6E37"/>
    <w:rsid w:val="005F7336"/>
    <w:rsid w:val="005F7C32"/>
    <w:rsid w:val="00601AEE"/>
    <w:rsid w:val="00603333"/>
    <w:rsid w:val="0060368B"/>
    <w:rsid w:val="006052FF"/>
    <w:rsid w:val="00605361"/>
    <w:rsid w:val="006064B7"/>
    <w:rsid w:val="00606B42"/>
    <w:rsid w:val="00607B3F"/>
    <w:rsid w:val="006102FB"/>
    <w:rsid w:val="00610419"/>
    <w:rsid w:val="00610918"/>
    <w:rsid w:val="00610F49"/>
    <w:rsid w:val="00611EEE"/>
    <w:rsid w:val="00612373"/>
    <w:rsid w:val="0061431E"/>
    <w:rsid w:val="006151A4"/>
    <w:rsid w:val="00615CA2"/>
    <w:rsid w:val="00615F0D"/>
    <w:rsid w:val="0061603A"/>
    <w:rsid w:val="006162DD"/>
    <w:rsid w:val="00616B00"/>
    <w:rsid w:val="00617191"/>
    <w:rsid w:val="00617CF7"/>
    <w:rsid w:val="006203E9"/>
    <w:rsid w:val="00620BC8"/>
    <w:rsid w:val="00621730"/>
    <w:rsid w:val="0062197C"/>
    <w:rsid w:val="006224D6"/>
    <w:rsid w:val="0062280C"/>
    <w:rsid w:val="00622B29"/>
    <w:rsid w:val="00623035"/>
    <w:rsid w:val="006230A9"/>
    <w:rsid w:val="006231AB"/>
    <w:rsid w:val="006233EE"/>
    <w:rsid w:val="00625189"/>
    <w:rsid w:val="0062542F"/>
    <w:rsid w:val="00625CD0"/>
    <w:rsid w:val="006265EB"/>
    <w:rsid w:val="00626A6C"/>
    <w:rsid w:val="0062703C"/>
    <w:rsid w:val="006275AA"/>
    <w:rsid w:val="006279B7"/>
    <w:rsid w:val="00630760"/>
    <w:rsid w:val="00630F1B"/>
    <w:rsid w:val="00631B43"/>
    <w:rsid w:val="00631F47"/>
    <w:rsid w:val="00631FFA"/>
    <w:rsid w:val="0063204A"/>
    <w:rsid w:val="00634280"/>
    <w:rsid w:val="00636583"/>
    <w:rsid w:val="00637C6E"/>
    <w:rsid w:val="00637E81"/>
    <w:rsid w:val="006400EF"/>
    <w:rsid w:val="0064028A"/>
    <w:rsid w:val="00640368"/>
    <w:rsid w:val="00640E01"/>
    <w:rsid w:val="00640FC0"/>
    <w:rsid w:val="00641C93"/>
    <w:rsid w:val="00642FD9"/>
    <w:rsid w:val="00643053"/>
    <w:rsid w:val="0064331A"/>
    <w:rsid w:val="0064386F"/>
    <w:rsid w:val="0064596F"/>
    <w:rsid w:val="00645C62"/>
    <w:rsid w:val="006461FA"/>
    <w:rsid w:val="00646FA8"/>
    <w:rsid w:val="00647779"/>
    <w:rsid w:val="00647B33"/>
    <w:rsid w:val="006507D1"/>
    <w:rsid w:val="00650A70"/>
    <w:rsid w:val="00651F15"/>
    <w:rsid w:val="00652324"/>
    <w:rsid w:val="006526DA"/>
    <w:rsid w:val="0065307F"/>
    <w:rsid w:val="00655937"/>
    <w:rsid w:val="00655BFB"/>
    <w:rsid w:val="00655D60"/>
    <w:rsid w:val="006568D4"/>
    <w:rsid w:val="00657608"/>
    <w:rsid w:val="0066022F"/>
    <w:rsid w:val="00660332"/>
    <w:rsid w:val="0066095C"/>
    <w:rsid w:val="00662C3F"/>
    <w:rsid w:val="00662F59"/>
    <w:rsid w:val="00663278"/>
    <w:rsid w:val="0066333B"/>
    <w:rsid w:val="006637B3"/>
    <w:rsid w:val="0066401D"/>
    <w:rsid w:val="00664940"/>
    <w:rsid w:val="00665338"/>
    <w:rsid w:val="0066777D"/>
    <w:rsid w:val="00667E62"/>
    <w:rsid w:val="0067175B"/>
    <w:rsid w:val="006718B7"/>
    <w:rsid w:val="00671E14"/>
    <w:rsid w:val="006734B4"/>
    <w:rsid w:val="006742BF"/>
    <w:rsid w:val="00674AF6"/>
    <w:rsid w:val="00674BB3"/>
    <w:rsid w:val="00674C3A"/>
    <w:rsid w:val="00674F34"/>
    <w:rsid w:val="0067575D"/>
    <w:rsid w:val="00675D6F"/>
    <w:rsid w:val="00677100"/>
    <w:rsid w:val="00677312"/>
    <w:rsid w:val="00677696"/>
    <w:rsid w:val="00677A09"/>
    <w:rsid w:val="00680191"/>
    <w:rsid w:val="006812CB"/>
    <w:rsid w:val="006813F4"/>
    <w:rsid w:val="0068243F"/>
    <w:rsid w:val="00682F4B"/>
    <w:rsid w:val="00683589"/>
    <w:rsid w:val="00684EC2"/>
    <w:rsid w:val="00685C1D"/>
    <w:rsid w:val="00686444"/>
    <w:rsid w:val="006867CE"/>
    <w:rsid w:val="006867D0"/>
    <w:rsid w:val="00687CBB"/>
    <w:rsid w:val="006903CA"/>
    <w:rsid w:val="00690917"/>
    <w:rsid w:val="00690DB1"/>
    <w:rsid w:val="006912AB"/>
    <w:rsid w:val="00691B42"/>
    <w:rsid w:val="006922BB"/>
    <w:rsid w:val="0069294B"/>
    <w:rsid w:val="00692CA2"/>
    <w:rsid w:val="00696160"/>
    <w:rsid w:val="006971CB"/>
    <w:rsid w:val="00697B60"/>
    <w:rsid w:val="006A0687"/>
    <w:rsid w:val="006A2A41"/>
    <w:rsid w:val="006A37F9"/>
    <w:rsid w:val="006A50A2"/>
    <w:rsid w:val="006A5983"/>
    <w:rsid w:val="006A5CAE"/>
    <w:rsid w:val="006A6056"/>
    <w:rsid w:val="006A608B"/>
    <w:rsid w:val="006A6781"/>
    <w:rsid w:val="006A72DD"/>
    <w:rsid w:val="006A759A"/>
    <w:rsid w:val="006A7719"/>
    <w:rsid w:val="006A7E39"/>
    <w:rsid w:val="006A7E8E"/>
    <w:rsid w:val="006B01A6"/>
    <w:rsid w:val="006B0914"/>
    <w:rsid w:val="006B09C7"/>
    <w:rsid w:val="006B0CB0"/>
    <w:rsid w:val="006B2BBC"/>
    <w:rsid w:val="006B2D31"/>
    <w:rsid w:val="006B3BF1"/>
    <w:rsid w:val="006B3DE1"/>
    <w:rsid w:val="006B402B"/>
    <w:rsid w:val="006B40B7"/>
    <w:rsid w:val="006B42D1"/>
    <w:rsid w:val="006B52BB"/>
    <w:rsid w:val="006B651E"/>
    <w:rsid w:val="006B678E"/>
    <w:rsid w:val="006B7A32"/>
    <w:rsid w:val="006C10DA"/>
    <w:rsid w:val="006C23E2"/>
    <w:rsid w:val="006C36C2"/>
    <w:rsid w:val="006C4D8E"/>
    <w:rsid w:val="006C6213"/>
    <w:rsid w:val="006C6C44"/>
    <w:rsid w:val="006C7961"/>
    <w:rsid w:val="006D032B"/>
    <w:rsid w:val="006D1279"/>
    <w:rsid w:val="006D1936"/>
    <w:rsid w:val="006D210F"/>
    <w:rsid w:val="006D2A94"/>
    <w:rsid w:val="006D2D2B"/>
    <w:rsid w:val="006D3240"/>
    <w:rsid w:val="006D3E0D"/>
    <w:rsid w:val="006D3F6E"/>
    <w:rsid w:val="006D3FE7"/>
    <w:rsid w:val="006D4CBB"/>
    <w:rsid w:val="006D5AC8"/>
    <w:rsid w:val="006D6265"/>
    <w:rsid w:val="006D6985"/>
    <w:rsid w:val="006D7E39"/>
    <w:rsid w:val="006E35BD"/>
    <w:rsid w:val="006E3745"/>
    <w:rsid w:val="006E4223"/>
    <w:rsid w:val="006E6351"/>
    <w:rsid w:val="006E644B"/>
    <w:rsid w:val="006E65FF"/>
    <w:rsid w:val="006E6873"/>
    <w:rsid w:val="006E6DF8"/>
    <w:rsid w:val="006E75A6"/>
    <w:rsid w:val="006E794F"/>
    <w:rsid w:val="006F032B"/>
    <w:rsid w:val="006F0ECC"/>
    <w:rsid w:val="006F1165"/>
    <w:rsid w:val="006F2093"/>
    <w:rsid w:val="006F229B"/>
    <w:rsid w:val="006F292D"/>
    <w:rsid w:val="006F42C2"/>
    <w:rsid w:val="006F5B19"/>
    <w:rsid w:val="006F6D6B"/>
    <w:rsid w:val="007008A9"/>
    <w:rsid w:val="00700DB7"/>
    <w:rsid w:val="00701690"/>
    <w:rsid w:val="0070368B"/>
    <w:rsid w:val="00705276"/>
    <w:rsid w:val="00706704"/>
    <w:rsid w:val="007069BB"/>
    <w:rsid w:val="00710A02"/>
    <w:rsid w:val="00710F70"/>
    <w:rsid w:val="00711FF0"/>
    <w:rsid w:val="00712141"/>
    <w:rsid w:val="00712B09"/>
    <w:rsid w:val="007144F4"/>
    <w:rsid w:val="007145EA"/>
    <w:rsid w:val="007158F6"/>
    <w:rsid w:val="007164B9"/>
    <w:rsid w:val="007164FB"/>
    <w:rsid w:val="00716629"/>
    <w:rsid w:val="00717593"/>
    <w:rsid w:val="00717ABF"/>
    <w:rsid w:val="00721D23"/>
    <w:rsid w:val="00721FD5"/>
    <w:rsid w:val="0072376D"/>
    <w:rsid w:val="0072529B"/>
    <w:rsid w:val="00725DC6"/>
    <w:rsid w:val="00725E29"/>
    <w:rsid w:val="007260CA"/>
    <w:rsid w:val="007303B8"/>
    <w:rsid w:val="00730440"/>
    <w:rsid w:val="00730D3E"/>
    <w:rsid w:val="00731055"/>
    <w:rsid w:val="00731CC4"/>
    <w:rsid w:val="00733008"/>
    <w:rsid w:val="007331B1"/>
    <w:rsid w:val="007332DE"/>
    <w:rsid w:val="007349A0"/>
    <w:rsid w:val="00737AE4"/>
    <w:rsid w:val="0074015B"/>
    <w:rsid w:val="007404CB"/>
    <w:rsid w:val="00740729"/>
    <w:rsid w:val="00740AAD"/>
    <w:rsid w:val="00741B89"/>
    <w:rsid w:val="00742385"/>
    <w:rsid w:val="00742E67"/>
    <w:rsid w:val="00743934"/>
    <w:rsid w:val="00744719"/>
    <w:rsid w:val="00745ADA"/>
    <w:rsid w:val="00746629"/>
    <w:rsid w:val="00747577"/>
    <w:rsid w:val="00747977"/>
    <w:rsid w:val="007517B2"/>
    <w:rsid w:val="0075193E"/>
    <w:rsid w:val="00752483"/>
    <w:rsid w:val="007527F6"/>
    <w:rsid w:val="007534DB"/>
    <w:rsid w:val="00753CF7"/>
    <w:rsid w:val="0075412C"/>
    <w:rsid w:val="00754ECE"/>
    <w:rsid w:val="00755201"/>
    <w:rsid w:val="00755A6E"/>
    <w:rsid w:val="00755B7D"/>
    <w:rsid w:val="00755CED"/>
    <w:rsid w:val="00757405"/>
    <w:rsid w:val="007574EA"/>
    <w:rsid w:val="00760E60"/>
    <w:rsid w:val="0076159F"/>
    <w:rsid w:val="0076190E"/>
    <w:rsid w:val="00764F3C"/>
    <w:rsid w:val="00766BBE"/>
    <w:rsid w:val="00766CE9"/>
    <w:rsid w:val="00770058"/>
    <w:rsid w:val="00770632"/>
    <w:rsid w:val="00770B22"/>
    <w:rsid w:val="0077352A"/>
    <w:rsid w:val="00773980"/>
    <w:rsid w:val="007741CD"/>
    <w:rsid w:val="00774744"/>
    <w:rsid w:val="00774A71"/>
    <w:rsid w:val="00774FF8"/>
    <w:rsid w:val="00775108"/>
    <w:rsid w:val="00775F80"/>
    <w:rsid w:val="00775F81"/>
    <w:rsid w:val="0077735B"/>
    <w:rsid w:val="00777723"/>
    <w:rsid w:val="00780D3A"/>
    <w:rsid w:val="0078104D"/>
    <w:rsid w:val="00782435"/>
    <w:rsid w:val="00782A04"/>
    <w:rsid w:val="00783418"/>
    <w:rsid w:val="007835AD"/>
    <w:rsid w:val="007839B0"/>
    <w:rsid w:val="00784014"/>
    <w:rsid w:val="007861C4"/>
    <w:rsid w:val="007861CA"/>
    <w:rsid w:val="00787B1F"/>
    <w:rsid w:val="00787E15"/>
    <w:rsid w:val="00790658"/>
    <w:rsid w:val="00790760"/>
    <w:rsid w:val="007916DF"/>
    <w:rsid w:val="0079195B"/>
    <w:rsid w:val="007919A3"/>
    <w:rsid w:val="00791C06"/>
    <w:rsid w:val="0079220B"/>
    <w:rsid w:val="007937E0"/>
    <w:rsid w:val="00794873"/>
    <w:rsid w:val="0079556B"/>
    <w:rsid w:val="007959AF"/>
    <w:rsid w:val="00796335"/>
    <w:rsid w:val="007972AD"/>
    <w:rsid w:val="00797407"/>
    <w:rsid w:val="00797771"/>
    <w:rsid w:val="0079786B"/>
    <w:rsid w:val="007A00C5"/>
    <w:rsid w:val="007A0D21"/>
    <w:rsid w:val="007A0E2B"/>
    <w:rsid w:val="007A0E67"/>
    <w:rsid w:val="007A19D1"/>
    <w:rsid w:val="007A1B95"/>
    <w:rsid w:val="007A21AD"/>
    <w:rsid w:val="007A243D"/>
    <w:rsid w:val="007A2811"/>
    <w:rsid w:val="007A3691"/>
    <w:rsid w:val="007A46C8"/>
    <w:rsid w:val="007A493E"/>
    <w:rsid w:val="007A4D7E"/>
    <w:rsid w:val="007A5EBA"/>
    <w:rsid w:val="007A61AE"/>
    <w:rsid w:val="007A6481"/>
    <w:rsid w:val="007A6CE0"/>
    <w:rsid w:val="007A73F1"/>
    <w:rsid w:val="007A7771"/>
    <w:rsid w:val="007A7B33"/>
    <w:rsid w:val="007A7E11"/>
    <w:rsid w:val="007B0A9C"/>
    <w:rsid w:val="007B11D9"/>
    <w:rsid w:val="007B174C"/>
    <w:rsid w:val="007B1B89"/>
    <w:rsid w:val="007B1F4F"/>
    <w:rsid w:val="007B244B"/>
    <w:rsid w:val="007B26B9"/>
    <w:rsid w:val="007B3344"/>
    <w:rsid w:val="007B3AB9"/>
    <w:rsid w:val="007B3E52"/>
    <w:rsid w:val="007B407E"/>
    <w:rsid w:val="007B4F58"/>
    <w:rsid w:val="007B5E4D"/>
    <w:rsid w:val="007B7438"/>
    <w:rsid w:val="007C08D3"/>
    <w:rsid w:val="007C1406"/>
    <w:rsid w:val="007C1885"/>
    <w:rsid w:val="007C1BA0"/>
    <w:rsid w:val="007C1C0A"/>
    <w:rsid w:val="007C1C5A"/>
    <w:rsid w:val="007C2093"/>
    <w:rsid w:val="007C3278"/>
    <w:rsid w:val="007C3A3B"/>
    <w:rsid w:val="007C41E1"/>
    <w:rsid w:val="007C4A27"/>
    <w:rsid w:val="007C574D"/>
    <w:rsid w:val="007C5876"/>
    <w:rsid w:val="007C59F3"/>
    <w:rsid w:val="007C63C4"/>
    <w:rsid w:val="007C67A8"/>
    <w:rsid w:val="007C6A57"/>
    <w:rsid w:val="007D0567"/>
    <w:rsid w:val="007D0BDF"/>
    <w:rsid w:val="007D12FB"/>
    <w:rsid w:val="007D16AC"/>
    <w:rsid w:val="007D3F72"/>
    <w:rsid w:val="007D4241"/>
    <w:rsid w:val="007D493E"/>
    <w:rsid w:val="007D49BB"/>
    <w:rsid w:val="007D50E5"/>
    <w:rsid w:val="007D5AE9"/>
    <w:rsid w:val="007D60CD"/>
    <w:rsid w:val="007D75B5"/>
    <w:rsid w:val="007D7A70"/>
    <w:rsid w:val="007E001F"/>
    <w:rsid w:val="007E01E1"/>
    <w:rsid w:val="007E04A2"/>
    <w:rsid w:val="007E0DD6"/>
    <w:rsid w:val="007E1F20"/>
    <w:rsid w:val="007E25A3"/>
    <w:rsid w:val="007E2840"/>
    <w:rsid w:val="007E3452"/>
    <w:rsid w:val="007E3552"/>
    <w:rsid w:val="007E4AD3"/>
    <w:rsid w:val="007E689F"/>
    <w:rsid w:val="007E74B7"/>
    <w:rsid w:val="007E7945"/>
    <w:rsid w:val="007F163C"/>
    <w:rsid w:val="007F2486"/>
    <w:rsid w:val="007F47FF"/>
    <w:rsid w:val="007F4C36"/>
    <w:rsid w:val="007F6386"/>
    <w:rsid w:val="007F6CE8"/>
    <w:rsid w:val="007F7679"/>
    <w:rsid w:val="007F796B"/>
    <w:rsid w:val="008007AF"/>
    <w:rsid w:val="00801326"/>
    <w:rsid w:val="00801661"/>
    <w:rsid w:val="0080178C"/>
    <w:rsid w:val="00803153"/>
    <w:rsid w:val="0080486D"/>
    <w:rsid w:val="00804EED"/>
    <w:rsid w:val="00805493"/>
    <w:rsid w:val="00806F86"/>
    <w:rsid w:val="008073F7"/>
    <w:rsid w:val="008104CD"/>
    <w:rsid w:val="00810FDE"/>
    <w:rsid w:val="0081100C"/>
    <w:rsid w:val="00811078"/>
    <w:rsid w:val="0081132B"/>
    <w:rsid w:val="00811E1E"/>
    <w:rsid w:val="008121DE"/>
    <w:rsid w:val="00813EC6"/>
    <w:rsid w:val="008149ED"/>
    <w:rsid w:val="00815EB9"/>
    <w:rsid w:val="008162F2"/>
    <w:rsid w:val="008169F6"/>
    <w:rsid w:val="00816C53"/>
    <w:rsid w:val="008171F5"/>
    <w:rsid w:val="00817BE4"/>
    <w:rsid w:val="008203D2"/>
    <w:rsid w:val="00820AB7"/>
    <w:rsid w:val="00820B8C"/>
    <w:rsid w:val="00820DF5"/>
    <w:rsid w:val="0082111A"/>
    <w:rsid w:val="00821D6E"/>
    <w:rsid w:val="00823BB0"/>
    <w:rsid w:val="00825B46"/>
    <w:rsid w:val="00825C20"/>
    <w:rsid w:val="00825C27"/>
    <w:rsid w:val="00826C16"/>
    <w:rsid w:val="00827BEE"/>
    <w:rsid w:val="0083061C"/>
    <w:rsid w:val="008307D1"/>
    <w:rsid w:val="008307DD"/>
    <w:rsid w:val="00830995"/>
    <w:rsid w:val="008310EE"/>
    <w:rsid w:val="00831354"/>
    <w:rsid w:val="008322B8"/>
    <w:rsid w:val="00832878"/>
    <w:rsid w:val="008329ED"/>
    <w:rsid w:val="00832B54"/>
    <w:rsid w:val="00832ECA"/>
    <w:rsid w:val="0083361C"/>
    <w:rsid w:val="008339C6"/>
    <w:rsid w:val="00835492"/>
    <w:rsid w:val="008361FB"/>
    <w:rsid w:val="00836356"/>
    <w:rsid w:val="00836DD7"/>
    <w:rsid w:val="008374B1"/>
    <w:rsid w:val="00837A0C"/>
    <w:rsid w:val="00840B80"/>
    <w:rsid w:val="00841B6C"/>
    <w:rsid w:val="00841C7D"/>
    <w:rsid w:val="00842651"/>
    <w:rsid w:val="008430F8"/>
    <w:rsid w:val="0084384F"/>
    <w:rsid w:val="00843D0D"/>
    <w:rsid w:val="00845950"/>
    <w:rsid w:val="00845AA6"/>
    <w:rsid w:val="008469C4"/>
    <w:rsid w:val="008517AE"/>
    <w:rsid w:val="00851896"/>
    <w:rsid w:val="0085205A"/>
    <w:rsid w:val="00852510"/>
    <w:rsid w:val="00852839"/>
    <w:rsid w:val="00852E95"/>
    <w:rsid w:val="0085336E"/>
    <w:rsid w:val="00854109"/>
    <w:rsid w:val="00854165"/>
    <w:rsid w:val="008565DA"/>
    <w:rsid w:val="00856BE7"/>
    <w:rsid w:val="00857730"/>
    <w:rsid w:val="00857C9F"/>
    <w:rsid w:val="00860505"/>
    <w:rsid w:val="00860B75"/>
    <w:rsid w:val="0086128C"/>
    <w:rsid w:val="00862B68"/>
    <w:rsid w:val="0086411B"/>
    <w:rsid w:val="00864E78"/>
    <w:rsid w:val="0086665C"/>
    <w:rsid w:val="00866F90"/>
    <w:rsid w:val="008670B7"/>
    <w:rsid w:val="0086732A"/>
    <w:rsid w:val="008710F2"/>
    <w:rsid w:val="00871321"/>
    <w:rsid w:val="00871B75"/>
    <w:rsid w:val="00873429"/>
    <w:rsid w:val="00873EA4"/>
    <w:rsid w:val="00875631"/>
    <w:rsid w:val="00875F96"/>
    <w:rsid w:val="00876718"/>
    <w:rsid w:val="008767A9"/>
    <w:rsid w:val="00876998"/>
    <w:rsid w:val="00876A75"/>
    <w:rsid w:val="0087741D"/>
    <w:rsid w:val="00877FAE"/>
    <w:rsid w:val="00880991"/>
    <w:rsid w:val="0088181D"/>
    <w:rsid w:val="008822FE"/>
    <w:rsid w:val="008827B3"/>
    <w:rsid w:val="00882B46"/>
    <w:rsid w:val="00883F82"/>
    <w:rsid w:val="008846A0"/>
    <w:rsid w:val="00885D0A"/>
    <w:rsid w:val="00887350"/>
    <w:rsid w:val="00890987"/>
    <w:rsid w:val="00890C59"/>
    <w:rsid w:val="00891775"/>
    <w:rsid w:val="00891951"/>
    <w:rsid w:val="00892481"/>
    <w:rsid w:val="00892542"/>
    <w:rsid w:val="0089281F"/>
    <w:rsid w:val="0089368F"/>
    <w:rsid w:val="00894DA4"/>
    <w:rsid w:val="00895441"/>
    <w:rsid w:val="008965AE"/>
    <w:rsid w:val="00897AE2"/>
    <w:rsid w:val="008A1198"/>
    <w:rsid w:val="008A1435"/>
    <w:rsid w:val="008A16C7"/>
    <w:rsid w:val="008A1FC1"/>
    <w:rsid w:val="008A2069"/>
    <w:rsid w:val="008A2343"/>
    <w:rsid w:val="008A297D"/>
    <w:rsid w:val="008A308A"/>
    <w:rsid w:val="008A31AB"/>
    <w:rsid w:val="008A3356"/>
    <w:rsid w:val="008A3431"/>
    <w:rsid w:val="008A37BF"/>
    <w:rsid w:val="008A4020"/>
    <w:rsid w:val="008A477B"/>
    <w:rsid w:val="008A64E8"/>
    <w:rsid w:val="008A7A88"/>
    <w:rsid w:val="008B0970"/>
    <w:rsid w:val="008B1033"/>
    <w:rsid w:val="008B11F2"/>
    <w:rsid w:val="008B2A8C"/>
    <w:rsid w:val="008B5BED"/>
    <w:rsid w:val="008B74DC"/>
    <w:rsid w:val="008B7C55"/>
    <w:rsid w:val="008C082C"/>
    <w:rsid w:val="008C0F4D"/>
    <w:rsid w:val="008C0F68"/>
    <w:rsid w:val="008C1CDC"/>
    <w:rsid w:val="008C48DA"/>
    <w:rsid w:val="008C4C01"/>
    <w:rsid w:val="008C4E86"/>
    <w:rsid w:val="008C52D7"/>
    <w:rsid w:val="008C54ED"/>
    <w:rsid w:val="008C5684"/>
    <w:rsid w:val="008C6282"/>
    <w:rsid w:val="008C654B"/>
    <w:rsid w:val="008C6BCA"/>
    <w:rsid w:val="008C6D38"/>
    <w:rsid w:val="008C6E8B"/>
    <w:rsid w:val="008C739D"/>
    <w:rsid w:val="008C7550"/>
    <w:rsid w:val="008C7983"/>
    <w:rsid w:val="008C7EB9"/>
    <w:rsid w:val="008C7EC8"/>
    <w:rsid w:val="008D0619"/>
    <w:rsid w:val="008D0FFD"/>
    <w:rsid w:val="008D19C7"/>
    <w:rsid w:val="008D1FF5"/>
    <w:rsid w:val="008D2744"/>
    <w:rsid w:val="008D2BD2"/>
    <w:rsid w:val="008D36F6"/>
    <w:rsid w:val="008D50D4"/>
    <w:rsid w:val="008D5497"/>
    <w:rsid w:val="008D65FB"/>
    <w:rsid w:val="008D7589"/>
    <w:rsid w:val="008D7BF0"/>
    <w:rsid w:val="008E04D8"/>
    <w:rsid w:val="008E0C57"/>
    <w:rsid w:val="008E1DCC"/>
    <w:rsid w:val="008E24C0"/>
    <w:rsid w:val="008E2D0A"/>
    <w:rsid w:val="008E37E8"/>
    <w:rsid w:val="008E3E59"/>
    <w:rsid w:val="008E403C"/>
    <w:rsid w:val="008E41E0"/>
    <w:rsid w:val="008E46EB"/>
    <w:rsid w:val="008E525D"/>
    <w:rsid w:val="008E5D86"/>
    <w:rsid w:val="008E6156"/>
    <w:rsid w:val="008E644F"/>
    <w:rsid w:val="008E6565"/>
    <w:rsid w:val="008E7CDE"/>
    <w:rsid w:val="008F0689"/>
    <w:rsid w:val="008F21D1"/>
    <w:rsid w:val="008F29F8"/>
    <w:rsid w:val="008F2FEB"/>
    <w:rsid w:val="008F37A9"/>
    <w:rsid w:val="008F3EB1"/>
    <w:rsid w:val="008F45C8"/>
    <w:rsid w:val="008F4AF5"/>
    <w:rsid w:val="008F4B5D"/>
    <w:rsid w:val="008F5EFC"/>
    <w:rsid w:val="00900F59"/>
    <w:rsid w:val="009010D0"/>
    <w:rsid w:val="009013A2"/>
    <w:rsid w:val="00901AAF"/>
    <w:rsid w:val="009027F5"/>
    <w:rsid w:val="0090495D"/>
    <w:rsid w:val="00905624"/>
    <w:rsid w:val="0090597F"/>
    <w:rsid w:val="009127E4"/>
    <w:rsid w:val="00912D37"/>
    <w:rsid w:val="00913C64"/>
    <w:rsid w:val="009144A2"/>
    <w:rsid w:val="00915305"/>
    <w:rsid w:val="0091584A"/>
    <w:rsid w:val="00915BDF"/>
    <w:rsid w:val="0091656A"/>
    <w:rsid w:val="00916633"/>
    <w:rsid w:val="0091762A"/>
    <w:rsid w:val="00917804"/>
    <w:rsid w:val="00917CDD"/>
    <w:rsid w:val="00920007"/>
    <w:rsid w:val="00920BFE"/>
    <w:rsid w:val="009220AD"/>
    <w:rsid w:val="00922182"/>
    <w:rsid w:val="00922A44"/>
    <w:rsid w:val="0092333D"/>
    <w:rsid w:val="00923EAB"/>
    <w:rsid w:val="009249E6"/>
    <w:rsid w:val="00924CFE"/>
    <w:rsid w:val="00924F1A"/>
    <w:rsid w:val="00924FA4"/>
    <w:rsid w:val="00925447"/>
    <w:rsid w:val="009258B5"/>
    <w:rsid w:val="00925D10"/>
    <w:rsid w:val="00925FAE"/>
    <w:rsid w:val="009270BB"/>
    <w:rsid w:val="009275E5"/>
    <w:rsid w:val="0093094B"/>
    <w:rsid w:val="00930D80"/>
    <w:rsid w:val="009312AE"/>
    <w:rsid w:val="00931ACF"/>
    <w:rsid w:val="00931EC6"/>
    <w:rsid w:val="00932605"/>
    <w:rsid w:val="0093379C"/>
    <w:rsid w:val="00933F01"/>
    <w:rsid w:val="009343FB"/>
    <w:rsid w:val="00935F67"/>
    <w:rsid w:val="00935FDB"/>
    <w:rsid w:val="0093672F"/>
    <w:rsid w:val="0093693A"/>
    <w:rsid w:val="00936AA0"/>
    <w:rsid w:val="00936C10"/>
    <w:rsid w:val="00937477"/>
    <w:rsid w:val="009376BF"/>
    <w:rsid w:val="00937A22"/>
    <w:rsid w:val="00940C90"/>
    <w:rsid w:val="00941A74"/>
    <w:rsid w:val="00942CF9"/>
    <w:rsid w:val="0094338D"/>
    <w:rsid w:val="0094342A"/>
    <w:rsid w:val="009436EF"/>
    <w:rsid w:val="00943C28"/>
    <w:rsid w:val="009449AE"/>
    <w:rsid w:val="00944A1B"/>
    <w:rsid w:val="00952F9F"/>
    <w:rsid w:val="00952FF8"/>
    <w:rsid w:val="00953393"/>
    <w:rsid w:val="0095359D"/>
    <w:rsid w:val="009537FF"/>
    <w:rsid w:val="00955356"/>
    <w:rsid w:val="00955F60"/>
    <w:rsid w:val="009562E1"/>
    <w:rsid w:val="009565C1"/>
    <w:rsid w:val="00957505"/>
    <w:rsid w:val="00957509"/>
    <w:rsid w:val="00960845"/>
    <w:rsid w:val="009608AB"/>
    <w:rsid w:val="00960CBA"/>
    <w:rsid w:val="009636F2"/>
    <w:rsid w:val="00963F82"/>
    <w:rsid w:val="00964398"/>
    <w:rsid w:val="009645A2"/>
    <w:rsid w:val="009671F5"/>
    <w:rsid w:val="00967491"/>
    <w:rsid w:val="009677B5"/>
    <w:rsid w:val="00967A48"/>
    <w:rsid w:val="00967CFF"/>
    <w:rsid w:val="009704D2"/>
    <w:rsid w:val="0097195A"/>
    <w:rsid w:val="00971B4F"/>
    <w:rsid w:val="00971F27"/>
    <w:rsid w:val="00973485"/>
    <w:rsid w:val="009738C6"/>
    <w:rsid w:val="0097489A"/>
    <w:rsid w:val="00974996"/>
    <w:rsid w:val="009759C7"/>
    <w:rsid w:val="00975A03"/>
    <w:rsid w:val="00975A5B"/>
    <w:rsid w:val="0097651D"/>
    <w:rsid w:val="009766D9"/>
    <w:rsid w:val="00976D3F"/>
    <w:rsid w:val="00976ECB"/>
    <w:rsid w:val="009778FB"/>
    <w:rsid w:val="00980BEC"/>
    <w:rsid w:val="00981C4D"/>
    <w:rsid w:val="00981D3D"/>
    <w:rsid w:val="0098240B"/>
    <w:rsid w:val="00982AB1"/>
    <w:rsid w:val="00983193"/>
    <w:rsid w:val="0098398E"/>
    <w:rsid w:val="0098484C"/>
    <w:rsid w:val="00985C52"/>
    <w:rsid w:val="00985D39"/>
    <w:rsid w:val="009901B5"/>
    <w:rsid w:val="00990553"/>
    <w:rsid w:val="00991B66"/>
    <w:rsid w:val="00991EA9"/>
    <w:rsid w:val="00991F30"/>
    <w:rsid w:val="00992656"/>
    <w:rsid w:val="009937B0"/>
    <w:rsid w:val="0099578F"/>
    <w:rsid w:val="00996A30"/>
    <w:rsid w:val="009A0002"/>
    <w:rsid w:val="009A0286"/>
    <w:rsid w:val="009A0E66"/>
    <w:rsid w:val="009A17CF"/>
    <w:rsid w:val="009A2369"/>
    <w:rsid w:val="009A326B"/>
    <w:rsid w:val="009A389F"/>
    <w:rsid w:val="009A3ED8"/>
    <w:rsid w:val="009A4643"/>
    <w:rsid w:val="009A52F2"/>
    <w:rsid w:val="009A55FB"/>
    <w:rsid w:val="009A5FAA"/>
    <w:rsid w:val="009A6EC6"/>
    <w:rsid w:val="009A7A38"/>
    <w:rsid w:val="009B0761"/>
    <w:rsid w:val="009B0912"/>
    <w:rsid w:val="009B3011"/>
    <w:rsid w:val="009B3F6C"/>
    <w:rsid w:val="009B4213"/>
    <w:rsid w:val="009B51B7"/>
    <w:rsid w:val="009B5ABC"/>
    <w:rsid w:val="009B5ABF"/>
    <w:rsid w:val="009B5E0B"/>
    <w:rsid w:val="009B64E4"/>
    <w:rsid w:val="009C0699"/>
    <w:rsid w:val="009C2E94"/>
    <w:rsid w:val="009C48DC"/>
    <w:rsid w:val="009C697F"/>
    <w:rsid w:val="009C7F74"/>
    <w:rsid w:val="009D07B0"/>
    <w:rsid w:val="009D089F"/>
    <w:rsid w:val="009D095B"/>
    <w:rsid w:val="009D0EE2"/>
    <w:rsid w:val="009D123F"/>
    <w:rsid w:val="009D15D5"/>
    <w:rsid w:val="009D1802"/>
    <w:rsid w:val="009D2404"/>
    <w:rsid w:val="009D2580"/>
    <w:rsid w:val="009D3705"/>
    <w:rsid w:val="009D3DCE"/>
    <w:rsid w:val="009D43D8"/>
    <w:rsid w:val="009D6E37"/>
    <w:rsid w:val="009E1B4C"/>
    <w:rsid w:val="009E1D71"/>
    <w:rsid w:val="009E1DFA"/>
    <w:rsid w:val="009E1FEE"/>
    <w:rsid w:val="009E2A91"/>
    <w:rsid w:val="009E32E7"/>
    <w:rsid w:val="009E6112"/>
    <w:rsid w:val="009E7151"/>
    <w:rsid w:val="009E7DBD"/>
    <w:rsid w:val="009F0A56"/>
    <w:rsid w:val="009F2A71"/>
    <w:rsid w:val="009F4DE8"/>
    <w:rsid w:val="009F52B4"/>
    <w:rsid w:val="009F56B7"/>
    <w:rsid w:val="009F57E5"/>
    <w:rsid w:val="00A00825"/>
    <w:rsid w:val="00A00B96"/>
    <w:rsid w:val="00A01204"/>
    <w:rsid w:val="00A03A5F"/>
    <w:rsid w:val="00A03D46"/>
    <w:rsid w:val="00A03F16"/>
    <w:rsid w:val="00A0508B"/>
    <w:rsid w:val="00A050BE"/>
    <w:rsid w:val="00A05B28"/>
    <w:rsid w:val="00A05E3B"/>
    <w:rsid w:val="00A06A61"/>
    <w:rsid w:val="00A075EE"/>
    <w:rsid w:val="00A07C6A"/>
    <w:rsid w:val="00A10CB4"/>
    <w:rsid w:val="00A11A96"/>
    <w:rsid w:val="00A11DC3"/>
    <w:rsid w:val="00A1202F"/>
    <w:rsid w:val="00A131BE"/>
    <w:rsid w:val="00A14577"/>
    <w:rsid w:val="00A14D9B"/>
    <w:rsid w:val="00A14DDA"/>
    <w:rsid w:val="00A159EF"/>
    <w:rsid w:val="00A1606B"/>
    <w:rsid w:val="00A167FB"/>
    <w:rsid w:val="00A16B94"/>
    <w:rsid w:val="00A17E29"/>
    <w:rsid w:val="00A2082E"/>
    <w:rsid w:val="00A21BAC"/>
    <w:rsid w:val="00A222C9"/>
    <w:rsid w:val="00A22CF0"/>
    <w:rsid w:val="00A23BA5"/>
    <w:rsid w:val="00A26337"/>
    <w:rsid w:val="00A26D56"/>
    <w:rsid w:val="00A26F75"/>
    <w:rsid w:val="00A27518"/>
    <w:rsid w:val="00A307AE"/>
    <w:rsid w:val="00A3153A"/>
    <w:rsid w:val="00A31C1F"/>
    <w:rsid w:val="00A31C9B"/>
    <w:rsid w:val="00A322EF"/>
    <w:rsid w:val="00A335C8"/>
    <w:rsid w:val="00A348BB"/>
    <w:rsid w:val="00A34CCD"/>
    <w:rsid w:val="00A34E90"/>
    <w:rsid w:val="00A3574A"/>
    <w:rsid w:val="00A36E56"/>
    <w:rsid w:val="00A376C8"/>
    <w:rsid w:val="00A378F3"/>
    <w:rsid w:val="00A3793D"/>
    <w:rsid w:val="00A43770"/>
    <w:rsid w:val="00A44B50"/>
    <w:rsid w:val="00A44E05"/>
    <w:rsid w:val="00A4657A"/>
    <w:rsid w:val="00A46EDB"/>
    <w:rsid w:val="00A4700C"/>
    <w:rsid w:val="00A475F1"/>
    <w:rsid w:val="00A47AAA"/>
    <w:rsid w:val="00A51228"/>
    <w:rsid w:val="00A5130D"/>
    <w:rsid w:val="00A51AA8"/>
    <w:rsid w:val="00A51AF5"/>
    <w:rsid w:val="00A52C76"/>
    <w:rsid w:val="00A53236"/>
    <w:rsid w:val="00A55473"/>
    <w:rsid w:val="00A56F21"/>
    <w:rsid w:val="00A607D0"/>
    <w:rsid w:val="00A60EDC"/>
    <w:rsid w:val="00A621AE"/>
    <w:rsid w:val="00A6222E"/>
    <w:rsid w:val="00A62796"/>
    <w:rsid w:val="00A62E0E"/>
    <w:rsid w:val="00A633E9"/>
    <w:rsid w:val="00A64F69"/>
    <w:rsid w:val="00A65D57"/>
    <w:rsid w:val="00A65FE0"/>
    <w:rsid w:val="00A67198"/>
    <w:rsid w:val="00A70862"/>
    <w:rsid w:val="00A70D5A"/>
    <w:rsid w:val="00A71A6C"/>
    <w:rsid w:val="00A72ACD"/>
    <w:rsid w:val="00A72C3A"/>
    <w:rsid w:val="00A72FB9"/>
    <w:rsid w:val="00A741DC"/>
    <w:rsid w:val="00A742D0"/>
    <w:rsid w:val="00A74D00"/>
    <w:rsid w:val="00A76CAE"/>
    <w:rsid w:val="00A76F43"/>
    <w:rsid w:val="00A76FEF"/>
    <w:rsid w:val="00A801D4"/>
    <w:rsid w:val="00A80907"/>
    <w:rsid w:val="00A81210"/>
    <w:rsid w:val="00A81B04"/>
    <w:rsid w:val="00A8279C"/>
    <w:rsid w:val="00A82ACC"/>
    <w:rsid w:val="00A83961"/>
    <w:rsid w:val="00A8629F"/>
    <w:rsid w:val="00A864B9"/>
    <w:rsid w:val="00A86D2B"/>
    <w:rsid w:val="00A879E4"/>
    <w:rsid w:val="00A87BCF"/>
    <w:rsid w:val="00A90BC6"/>
    <w:rsid w:val="00A90EA1"/>
    <w:rsid w:val="00A92905"/>
    <w:rsid w:val="00A93088"/>
    <w:rsid w:val="00A9318A"/>
    <w:rsid w:val="00A939CA"/>
    <w:rsid w:val="00A93DA8"/>
    <w:rsid w:val="00A93FA8"/>
    <w:rsid w:val="00A94393"/>
    <w:rsid w:val="00A94399"/>
    <w:rsid w:val="00A945AF"/>
    <w:rsid w:val="00A9533C"/>
    <w:rsid w:val="00A95E83"/>
    <w:rsid w:val="00A961F2"/>
    <w:rsid w:val="00A96F2A"/>
    <w:rsid w:val="00A9736E"/>
    <w:rsid w:val="00AA037D"/>
    <w:rsid w:val="00AA0423"/>
    <w:rsid w:val="00AA044B"/>
    <w:rsid w:val="00AA27B7"/>
    <w:rsid w:val="00AA3A40"/>
    <w:rsid w:val="00AA3A50"/>
    <w:rsid w:val="00AA4792"/>
    <w:rsid w:val="00AA5DCF"/>
    <w:rsid w:val="00AA61E1"/>
    <w:rsid w:val="00AB021E"/>
    <w:rsid w:val="00AB07D9"/>
    <w:rsid w:val="00AB1A03"/>
    <w:rsid w:val="00AB1FF0"/>
    <w:rsid w:val="00AB2B4D"/>
    <w:rsid w:val="00AB2FDB"/>
    <w:rsid w:val="00AB33DD"/>
    <w:rsid w:val="00AB47D5"/>
    <w:rsid w:val="00AB47DB"/>
    <w:rsid w:val="00AB49AD"/>
    <w:rsid w:val="00AB6040"/>
    <w:rsid w:val="00AB60B8"/>
    <w:rsid w:val="00AB6417"/>
    <w:rsid w:val="00AB6EC4"/>
    <w:rsid w:val="00AB6F02"/>
    <w:rsid w:val="00AB736B"/>
    <w:rsid w:val="00AC06CA"/>
    <w:rsid w:val="00AC11A3"/>
    <w:rsid w:val="00AC1C34"/>
    <w:rsid w:val="00AC23E1"/>
    <w:rsid w:val="00AC2503"/>
    <w:rsid w:val="00AD2A22"/>
    <w:rsid w:val="00AD4150"/>
    <w:rsid w:val="00AD5CCB"/>
    <w:rsid w:val="00AD6178"/>
    <w:rsid w:val="00AD644C"/>
    <w:rsid w:val="00AD6B03"/>
    <w:rsid w:val="00AD75A8"/>
    <w:rsid w:val="00AD78B8"/>
    <w:rsid w:val="00AD7ED1"/>
    <w:rsid w:val="00AE0576"/>
    <w:rsid w:val="00AE165D"/>
    <w:rsid w:val="00AE1B18"/>
    <w:rsid w:val="00AE1C2B"/>
    <w:rsid w:val="00AE34B5"/>
    <w:rsid w:val="00AE37B5"/>
    <w:rsid w:val="00AE4491"/>
    <w:rsid w:val="00AE48FF"/>
    <w:rsid w:val="00AE4AE8"/>
    <w:rsid w:val="00AE593A"/>
    <w:rsid w:val="00AE600A"/>
    <w:rsid w:val="00AE6E69"/>
    <w:rsid w:val="00AE71AB"/>
    <w:rsid w:val="00AE73E5"/>
    <w:rsid w:val="00AF0302"/>
    <w:rsid w:val="00AF05BC"/>
    <w:rsid w:val="00AF1F6F"/>
    <w:rsid w:val="00AF241B"/>
    <w:rsid w:val="00AF2CC2"/>
    <w:rsid w:val="00AF3B5C"/>
    <w:rsid w:val="00AF474E"/>
    <w:rsid w:val="00AF4882"/>
    <w:rsid w:val="00AF4B25"/>
    <w:rsid w:val="00AF4BF4"/>
    <w:rsid w:val="00AF515F"/>
    <w:rsid w:val="00AF51E3"/>
    <w:rsid w:val="00AF7672"/>
    <w:rsid w:val="00AF784D"/>
    <w:rsid w:val="00AF79F3"/>
    <w:rsid w:val="00B005D1"/>
    <w:rsid w:val="00B010DC"/>
    <w:rsid w:val="00B01B03"/>
    <w:rsid w:val="00B01F72"/>
    <w:rsid w:val="00B032A0"/>
    <w:rsid w:val="00B04492"/>
    <w:rsid w:val="00B1012C"/>
    <w:rsid w:val="00B11E82"/>
    <w:rsid w:val="00B13623"/>
    <w:rsid w:val="00B14FEB"/>
    <w:rsid w:val="00B1562F"/>
    <w:rsid w:val="00B15AFB"/>
    <w:rsid w:val="00B16463"/>
    <w:rsid w:val="00B17064"/>
    <w:rsid w:val="00B173EF"/>
    <w:rsid w:val="00B1744F"/>
    <w:rsid w:val="00B2141F"/>
    <w:rsid w:val="00B21660"/>
    <w:rsid w:val="00B21B0A"/>
    <w:rsid w:val="00B21F0D"/>
    <w:rsid w:val="00B222D4"/>
    <w:rsid w:val="00B23090"/>
    <w:rsid w:val="00B2418F"/>
    <w:rsid w:val="00B25152"/>
    <w:rsid w:val="00B257A9"/>
    <w:rsid w:val="00B25D7F"/>
    <w:rsid w:val="00B25DA1"/>
    <w:rsid w:val="00B31AEC"/>
    <w:rsid w:val="00B32DFE"/>
    <w:rsid w:val="00B3333E"/>
    <w:rsid w:val="00B33937"/>
    <w:rsid w:val="00B3524B"/>
    <w:rsid w:val="00B363E3"/>
    <w:rsid w:val="00B36DE4"/>
    <w:rsid w:val="00B370B3"/>
    <w:rsid w:val="00B37873"/>
    <w:rsid w:val="00B4030B"/>
    <w:rsid w:val="00B4043E"/>
    <w:rsid w:val="00B40EC6"/>
    <w:rsid w:val="00B414D2"/>
    <w:rsid w:val="00B42496"/>
    <w:rsid w:val="00B438D1"/>
    <w:rsid w:val="00B44189"/>
    <w:rsid w:val="00B442EA"/>
    <w:rsid w:val="00B45963"/>
    <w:rsid w:val="00B45E57"/>
    <w:rsid w:val="00B467AD"/>
    <w:rsid w:val="00B46EAC"/>
    <w:rsid w:val="00B479DA"/>
    <w:rsid w:val="00B51017"/>
    <w:rsid w:val="00B521BE"/>
    <w:rsid w:val="00B5316B"/>
    <w:rsid w:val="00B53997"/>
    <w:rsid w:val="00B543AA"/>
    <w:rsid w:val="00B54524"/>
    <w:rsid w:val="00B5461D"/>
    <w:rsid w:val="00B54775"/>
    <w:rsid w:val="00B54B01"/>
    <w:rsid w:val="00B551B3"/>
    <w:rsid w:val="00B5566A"/>
    <w:rsid w:val="00B55C17"/>
    <w:rsid w:val="00B568CA"/>
    <w:rsid w:val="00B56EDD"/>
    <w:rsid w:val="00B61566"/>
    <w:rsid w:val="00B615D8"/>
    <w:rsid w:val="00B6164E"/>
    <w:rsid w:val="00B618AC"/>
    <w:rsid w:val="00B621AB"/>
    <w:rsid w:val="00B62302"/>
    <w:rsid w:val="00B6232D"/>
    <w:rsid w:val="00B62D47"/>
    <w:rsid w:val="00B62F3B"/>
    <w:rsid w:val="00B64CB4"/>
    <w:rsid w:val="00B651D4"/>
    <w:rsid w:val="00B65889"/>
    <w:rsid w:val="00B65912"/>
    <w:rsid w:val="00B6690F"/>
    <w:rsid w:val="00B67A61"/>
    <w:rsid w:val="00B67B40"/>
    <w:rsid w:val="00B67BCA"/>
    <w:rsid w:val="00B716E5"/>
    <w:rsid w:val="00B71851"/>
    <w:rsid w:val="00B71B77"/>
    <w:rsid w:val="00B72FA8"/>
    <w:rsid w:val="00B73C27"/>
    <w:rsid w:val="00B7536B"/>
    <w:rsid w:val="00B763A1"/>
    <w:rsid w:val="00B76B11"/>
    <w:rsid w:val="00B76D6B"/>
    <w:rsid w:val="00B76EC7"/>
    <w:rsid w:val="00B81415"/>
    <w:rsid w:val="00B8241D"/>
    <w:rsid w:val="00B82681"/>
    <w:rsid w:val="00B826EB"/>
    <w:rsid w:val="00B82CFC"/>
    <w:rsid w:val="00B83071"/>
    <w:rsid w:val="00B843E2"/>
    <w:rsid w:val="00B846BE"/>
    <w:rsid w:val="00B84751"/>
    <w:rsid w:val="00B8494A"/>
    <w:rsid w:val="00B84CA0"/>
    <w:rsid w:val="00B84FE9"/>
    <w:rsid w:val="00B86C2C"/>
    <w:rsid w:val="00B870C1"/>
    <w:rsid w:val="00B873BD"/>
    <w:rsid w:val="00B9063E"/>
    <w:rsid w:val="00B9069B"/>
    <w:rsid w:val="00B91D9C"/>
    <w:rsid w:val="00B93631"/>
    <w:rsid w:val="00B93A30"/>
    <w:rsid w:val="00B94AB3"/>
    <w:rsid w:val="00B94F28"/>
    <w:rsid w:val="00BA2005"/>
    <w:rsid w:val="00BA284E"/>
    <w:rsid w:val="00BA28A7"/>
    <w:rsid w:val="00BA2EAF"/>
    <w:rsid w:val="00BA3266"/>
    <w:rsid w:val="00BA47B9"/>
    <w:rsid w:val="00BA60DC"/>
    <w:rsid w:val="00BA6B34"/>
    <w:rsid w:val="00BA6F67"/>
    <w:rsid w:val="00BB04EE"/>
    <w:rsid w:val="00BB403C"/>
    <w:rsid w:val="00BB4E1C"/>
    <w:rsid w:val="00BB6045"/>
    <w:rsid w:val="00BB650D"/>
    <w:rsid w:val="00BB78CA"/>
    <w:rsid w:val="00BB7E89"/>
    <w:rsid w:val="00BC0A55"/>
    <w:rsid w:val="00BC0C38"/>
    <w:rsid w:val="00BC18BD"/>
    <w:rsid w:val="00BC1FCD"/>
    <w:rsid w:val="00BC36E9"/>
    <w:rsid w:val="00BC3715"/>
    <w:rsid w:val="00BC3BD2"/>
    <w:rsid w:val="00BC4139"/>
    <w:rsid w:val="00BC5266"/>
    <w:rsid w:val="00BC5BFA"/>
    <w:rsid w:val="00BC67BD"/>
    <w:rsid w:val="00BC6EAF"/>
    <w:rsid w:val="00BC744D"/>
    <w:rsid w:val="00BD01B4"/>
    <w:rsid w:val="00BD03E1"/>
    <w:rsid w:val="00BD09B6"/>
    <w:rsid w:val="00BD1F5E"/>
    <w:rsid w:val="00BD2187"/>
    <w:rsid w:val="00BD2C23"/>
    <w:rsid w:val="00BD32EC"/>
    <w:rsid w:val="00BD376E"/>
    <w:rsid w:val="00BD528D"/>
    <w:rsid w:val="00BD5308"/>
    <w:rsid w:val="00BD585E"/>
    <w:rsid w:val="00BD60E3"/>
    <w:rsid w:val="00BD6FF8"/>
    <w:rsid w:val="00BD789C"/>
    <w:rsid w:val="00BE0463"/>
    <w:rsid w:val="00BE0DDD"/>
    <w:rsid w:val="00BE2B93"/>
    <w:rsid w:val="00BE3014"/>
    <w:rsid w:val="00BE3107"/>
    <w:rsid w:val="00BE3247"/>
    <w:rsid w:val="00BE4897"/>
    <w:rsid w:val="00BE5903"/>
    <w:rsid w:val="00BE5F12"/>
    <w:rsid w:val="00BE5F7A"/>
    <w:rsid w:val="00BE73AC"/>
    <w:rsid w:val="00BF15EC"/>
    <w:rsid w:val="00BF1788"/>
    <w:rsid w:val="00BF3028"/>
    <w:rsid w:val="00BF31F8"/>
    <w:rsid w:val="00BF33BE"/>
    <w:rsid w:val="00BF38D6"/>
    <w:rsid w:val="00BF3C1E"/>
    <w:rsid w:val="00BF3E2A"/>
    <w:rsid w:val="00BF4665"/>
    <w:rsid w:val="00BF4D22"/>
    <w:rsid w:val="00BF52F8"/>
    <w:rsid w:val="00BF5967"/>
    <w:rsid w:val="00BF5E3C"/>
    <w:rsid w:val="00BF6395"/>
    <w:rsid w:val="00BF664F"/>
    <w:rsid w:val="00BF6B85"/>
    <w:rsid w:val="00BF7610"/>
    <w:rsid w:val="00C0029E"/>
    <w:rsid w:val="00C00F16"/>
    <w:rsid w:val="00C0201B"/>
    <w:rsid w:val="00C020CC"/>
    <w:rsid w:val="00C025CF"/>
    <w:rsid w:val="00C02EC4"/>
    <w:rsid w:val="00C031B1"/>
    <w:rsid w:val="00C03838"/>
    <w:rsid w:val="00C03C0E"/>
    <w:rsid w:val="00C046EE"/>
    <w:rsid w:val="00C0530B"/>
    <w:rsid w:val="00C0533D"/>
    <w:rsid w:val="00C068AF"/>
    <w:rsid w:val="00C10869"/>
    <w:rsid w:val="00C10C4D"/>
    <w:rsid w:val="00C114F7"/>
    <w:rsid w:val="00C115CF"/>
    <w:rsid w:val="00C13F06"/>
    <w:rsid w:val="00C14A57"/>
    <w:rsid w:val="00C1693F"/>
    <w:rsid w:val="00C16A07"/>
    <w:rsid w:val="00C16C53"/>
    <w:rsid w:val="00C175B2"/>
    <w:rsid w:val="00C20921"/>
    <w:rsid w:val="00C2092F"/>
    <w:rsid w:val="00C2174D"/>
    <w:rsid w:val="00C219A6"/>
    <w:rsid w:val="00C22C5E"/>
    <w:rsid w:val="00C22CAC"/>
    <w:rsid w:val="00C22EAD"/>
    <w:rsid w:val="00C2331E"/>
    <w:rsid w:val="00C2344D"/>
    <w:rsid w:val="00C24086"/>
    <w:rsid w:val="00C24248"/>
    <w:rsid w:val="00C25596"/>
    <w:rsid w:val="00C259E3"/>
    <w:rsid w:val="00C2667B"/>
    <w:rsid w:val="00C31FD3"/>
    <w:rsid w:val="00C323AE"/>
    <w:rsid w:val="00C334D8"/>
    <w:rsid w:val="00C33CAD"/>
    <w:rsid w:val="00C347E6"/>
    <w:rsid w:val="00C34B6C"/>
    <w:rsid w:val="00C3502E"/>
    <w:rsid w:val="00C3550C"/>
    <w:rsid w:val="00C35CC3"/>
    <w:rsid w:val="00C37893"/>
    <w:rsid w:val="00C40344"/>
    <w:rsid w:val="00C4048E"/>
    <w:rsid w:val="00C40870"/>
    <w:rsid w:val="00C410D3"/>
    <w:rsid w:val="00C4121F"/>
    <w:rsid w:val="00C41521"/>
    <w:rsid w:val="00C41547"/>
    <w:rsid w:val="00C41F3F"/>
    <w:rsid w:val="00C4254F"/>
    <w:rsid w:val="00C42A49"/>
    <w:rsid w:val="00C436F3"/>
    <w:rsid w:val="00C43896"/>
    <w:rsid w:val="00C4461E"/>
    <w:rsid w:val="00C44B4C"/>
    <w:rsid w:val="00C45EAC"/>
    <w:rsid w:val="00C46540"/>
    <w:rsid w:val="00C4666E"/>
    <w:rsid w:val="00C47ABB"/>
    <w:rsid w:val="00C50448"/>
    <w:rsid w:val="00C5060F"/>
    <w:rsid w:val="00C506EA"/>
    <w:rsid w:val="00C51031"/>
    <w:rsid w:val="00C5119B"/>
    <w:rsid w:val="00C512E0"/>
    <w:rsid w:val="00C516D4"/>
    <w:rsid w:val="00C51825"/>
    <w:rsid w:val="00C51D70"/>
    <w:rsid w:val="00C52073"/>
    <w:rsid w:val="00C52331"/>
    <w:rsid w:val="00C55113"/>
    <w:rsid w:val="00C56921"/>
    <w:rsid w:val="00C56EB5"/>
    <w:rsid w:val="00C57092"/>
    <w:rsid w:val="00C57654"/>
    <w:rsid w:val="00C57AB3"/>
    <w:rsid w:val="00C609E9"/>
    <w:rsid w:val="00C61916"/>
    <w:rsid w:val="00C61B0B"/>
    <w:rsid w:val="00C61F68"/>
    <w:rsid w:val="00C62314"/>
    <w:rsid w:val="00C624E5"/>
    <w:rsid w:val="00C62C5F"/>
    <w:rsid w:val="00C633D2"/>
    <w:rsid w:val="00C63793"/>
    <w:rsid w:val="00C638FB"/>
    <w:rsid w:val="00C63AE6"/>
    <w:rsid w:val="00C66965"/>
    <w:rsid w:val="00C67163"/>
    <w:rsid w:val="00C672A8"/>
    <w:rsid w:val="00C700EA"/>
    <w:rsid w:val="00C71427"/>
    <w:rsid w:val="00C72A07"/>
    <w:rsid w:val="00C74178"/>
    <w:rsid w:val="00C74DBF"/>
    <w:rsid w:val="00C755D8"/>
    <w:rsid w:val="00C758AC"/>
    <w:rsid w:val="00C75A0F"/>
    <w:rsid w:val="00C767FB"/>
    <w:rsid w:val="00C76953"/>
    <w:rsid w:val="00C771C2"/>
    <w:rsid w:val="00C80D60"/>
    <w:rsid w:val="00C81540"/>
    <w:rsid w:val="00C81BA6"/>
    <w:rsid w:val="00C820D0"/>
    <w:rsid w:val="00C82893"/>
    <w:rsid w:val="00C82FA3"/>
    <w:rsid w:val="00C84299"/>
    <w:rsid w:val="00C84EFA"/>
    <w:rsid w:val="00C84FE2"/>
    <w:rsid w:val="00C85A04"/>
    <w:rsid w:val="00C85F1E"/>
    <w:rsid w:val="00C85F8C"/>
    <w:rsid w:val="00C863BD"/>
    <w:rsid w:val="00C86C66"/>
    <w:rsid w:val="00C90238"/>
    <w:rsid w:val="00C90907"/>
    <w:rsid w:val="00C91060"/>
    <w:rsid w:val="00C91605"/>
    <w:rsid w:val="00C92A4B"/>
    <w:rsid w:val="00C9346F"/>
    <w:rsid w:val="00C93652"/>
    <w:rsid w:val="00C94455"/>
    <w:rsid w:val="00C9497A"/>
    <w:rsid w:val="00C94C33"/>
    <w:rsid w:val="00C95475"/>
    <w:rsid w:val="00C957C9"/>
    <w:rsid w:val="00C96015"/>
    <w:rsid w:val="00C9630F"/>
    <w:rsid w:val="00C963C8"/>
    <w:rsid w:val="00C970A3"/>
    <w:rsid w:val="00C97D6E"/>
    <w:rsid w:val="00CA03B8"/>
    <w:rsid w:val="00CA0416"/>
    <w:rsid w:val="00CA0828"/>
    <w:rsid w:val="00CA102E"/>
    <w:rsid w:val="00CA32D2"/>
    <w:rsid w:val="00CA40B0"/>
    <w:rsid w:val="00CA5AE2"/>
    <w:rsid w:val="00CA643A"/>
    <w:rsid w:val="00CA6702"/>
    <w:rsid w:val="00CA6D37"/>
    <w:rsid w:val="00CA6FAE"/>
    <w:rsid w:val="00CA781F"/>
    <w:rsid w:val="00CA7F65"/>
    <w:rsid w:val="00CB078F"/>
    <w:rsid w:val="00CB0A74"/>
    <w:rsid w:val="00CB1529"/>
    <w:rsid w:val="00CB271C"/>
    <w:rsid w:val="00CB2D6D"/>
    <w:rsid w:val="00CB3596"/>
    <w:rsid w:val="00CB37B8"/>
    <w:rsid w:val="00CB40FF"/>
    <w:rsid w:val="00CB44C0"/>
    <w:rsid w:val="00CB45FB"/>
    <w:rsid w:val="00CB4639"/>
    <w:rsid w:val="00CB4FA8"/>
    <w:rsid w:val="00CB55BB"/>
    <w:rsid w:val="00CB681F"/>
    <w:rsid w:val="00CB6C73"/>
    <w:rsid w:val="00CB6F13"/>
    <w:rsid w:val="00CB7034"/>
    <w:rsid w:val="00CB7F0B"/>
    <w:rsid w:val="00CC14CA"/>
    <w:rsid w:val="00CC1892"/>
    <w:rsid w:val="00CC28B5"/>
    <w:rsid w:val="00CC2B6F"/>
    <w:rsid w:val="00CC41B9"/>
    <w:rsid w:val="00CC4A58"/>
    <w:rsid w:val="00CC6903"/>
    <w:rsid w:val="00CC6BF9"/>
    <w:rsid w:val="00CC6DD9"/>
    <w:rsid w:val="00CC7010"/>
    <w:rsid w:val="00CD05B6"/>
    <w:rsid w:val="00CD1289"/>
    <w:rsid w:val="00CD1563"/>
    <w:rsid w:val="00CD215C"/>
    <w:rsid w:val="00CD2B45"/>
    <w:rsid w:val="00CD2D6B"/>
    <w:rsid w:val="00CD30CA"/>
    <w:rsid w:val="00CD3B9A"/>
    <w:rsid w:val="00CD4451"/>
    <w:rsid w:val="00CD5423"/>
    <w:rsid w:val="00CD5477"/>
    <w:rsid w:val="00CD6589"/>
    <w:rsid w:val="00CD6E63"/>
    <w:rsid w:val="00CD766D"/>
    <w:rsid w:val="00CD7D8D"/>
    <w:rsid w:val="00CE101B"/>
    <w:rsid w:val="00CE21FB"/>
    <w:rsid w:val="00CE22AA"/>
    <w:rsid w:val="00CE2DB9"/>
    <w:rsid w:val="00CE4A72"/>
    <w:rsid w:val="00CE4C45"/>
    <w:rsid w:val="00CE58B2"/>
    <w:rsid w:val="00CE70F4"/>
    <w:rsid w:val="00CE7647"/>
    <w:rsid w:val="00CF0291"/>
    <w:rsid w:val="00CF0F74"/>
    <w:rsid w:val="00CF2D67"/>
    <w:rsid w:val="00CF34F4"/>
    <w:rsid w:val="00CF3694"/>
    <w:rsid w:val="00CF39F4"/>
    <w:rsid w:val="00CF4BFB"/>
    <w:rsid w:val="00CF5F0B"/>
    <w:rsid w:val="00CF64DE"/>
    <w:rsid w:val="00CF738D"/>
    <w:rsid w:val="00CF7AE4"/>
    <w:rsid w:val="00CF7CDF"/>
    <w:rsid w:val="00CF7EE0"/>
    <w:rsid w:val="00D003A7"/>
    <w:rsid w:val="00D003F2"/>
    <w:rsid w:val="00D00489"/>
    <w:rsid w:val="00D01BBC"/>
    <w:rsid w:val="00D02B24"/>
    <w:rsid w:val="00D03121"/>
    <w:rsid w:val="00D04A3B"/>
    <w:rsid w:val="00D05476"/>
    <w:rsid w:val="00D0591C"/>
    <w:rsid w:val="00D059C4"/>
    <w:rsid w:val="00D059E5"/>
    <w:rsid w:val="00D064C4"/>
    <w:rsid w:val="00D067F1"/>
    <w:rsid w:val="00D06C51"/>
    <w:rsid w:val="00D06CD4"/>
    <w:rsid w:val="00D10662"/>
    <w:rsid w:val="00D1380F"/>
    <w:rsid w:val="00D13FC4"/>
    <w:rsid w:val="00D149EA"/>
    <w:rsid w:val="00D14F6C"/>
    <w:rsid w:val="00D159F5"/>
    <w:rsid w:val="00D15A68"/>
    <w:rsid w:val="00D161EE"/>
    <w:rsid w:val="00D17447"/>
    <w:rsid w:val="00D17BCF"/>
    <w:rsid w:val="00D2106F"/>
    <w:rsid w:val="00D228CD"/>
    <w:rsid w:val="00D23E6C"/>
    <w:rsid w:val="00D266AA"/>
    <w:rsid w:val="00D26AC9"/>
    <w:rsid w:val="00D26B40"/>
    <w:rsid w:val="00D26E37"/>
    <w:rsid w:val="00D2753C"/>
    <w:rsid w:val="00D277D4"/>
    <w:rsid w:val="00D3035B"/>
    <w:rsid w:val="00D31341"/>
    <w:rsid w:val="00D31737"/>
    <w:rsid w:val="00D317CE"/>
    <w:rsid w:val="00D3260C"/>
    <w:rsid w:val="00D32E49"/>
    <w:rsid w:val="00D32EB9"/>
    <w:rsid w:val="00D35C13"/>
    <w:rsid w:val="00D36772"/>
    <w:rsid w:val="00D3709F"/>
    <w:rsid w:val="00D37BAD"/>
    <w:rsid w:val="00D37FDF"/>
    <w:rsid w:val="00D41FB1"/>
    <w:rsid w:val="00D44201"/>
    <w:rsid w:val="00D44539"/>
    <w:rsid w:val="00D449A0"/>
    <w:rsid w:val="00D45301"/>
    <w:rsid w:val="00D45BFC"/>
    <w:rsid w:val="00D46F23"/>
    <w:rsid w:val="00D5192E"/>
    <w:rsid w:val="00D51B3F"/>
    <w:rsid w:val="00D51C59"/>
    <w:rsid w:val="00D5399D"/>
    <w:rsid w:val="00D5544A"/>
    <w:rsid w:val="00D56306"/>
    <w:rsid w:val="00D57352"/>
    <w:rsid w:val="00D629FE"/>
    <w:rsid w:val="00D62E52"/>
    <w:rsid w:val="00D64930"/>
    <w:rsid w:val="00D649FE"/>
    <w:rsid w:val="00D6531C"/>
    <w:rsid w:val="00D65F19"/>
    <w:rsid w:val="00D66062"/>
    <w:rsid w:val="00D670CB"/>
    <w:rsid w:val="00D70611"/>
    <w:rsid w:val="00D70A44"/>
    <w:rsid w:val="00D7164E"/>
    <w:rsid w:val="00D71EB8"/>
    <w:rsid w:val="00D729CA"/>
    <w:rsid w:val="00D72A74"/>
    <w:rsid w:val="00D743BF"/>
    <w:rsid w:val="00D74EF9"/>
    <w:rsid w:val="00D7510F"/>
    <w:rsid w:val="00D753DE"/>
    <w:rsid w:val="00D75D8F"/>
    <w:rsid w:val="00D76291"/>
    <w:rsid w:val="00D763EA"/>
    <w:rsid w:val="00D80C4C"/>
    <w:rsid w:val="00D80E03"/>
    <w:rsid w:val="00D8173E"/>
    <w:rsid w:val="00D821D8"/>
    <w:rsid w:val="00D82C34"/>
    <w:rsid w:val="00D83C6D"/>
    <w:rsid w:val="00D83E69"/>
    <w:rsid w:val="00D84E1A"/>
    <w:rsid w:val="00D852CF"/>
    <w:rsid w:val="00D856F4"/>
    <w:rsid w:val="00D856F8"/>
    <w:rsid w:val="00D85FAD"/>
    <w:rsid w:val="00D86BEE"/>
    <w:rsid w:val="00D87744"/>
    <w:rsid w:val="00D9153C"/>
    <w:rsid w:val="00D91E28"/>
    <w:rsid w:val="00D926FB"/>
    <w:rsid w:val="00D93A82"/>
    <w:rsid w:val="00D93A98"/>
    <w:rsid w:val="00D93FF7"/>
    <w:rsid w:val="00D941AB"/>
    <w:rsid w:val="00D94D37"/>
    <w:rsid w:val="00D94DC5"/>
    <w:rsid w:val="00D950B9"/>
    <w:rsid w:val="00D960DF"/>
    <w:rsid w:val="00D9623B"/>
    <w:rsid w:val="00D9700B"/>
    <w:rsid w:val="00D9789E"/>
    <w:rsid w:val="00D97E6F"/>
    <w:rsid w:val="00DA00D5"/>
    <w:rsid w:val="00DA051C"/>
    <w:rsid w:val="00DA0622"/>
    <w:rsid w:val="00DA0667"/>
    <w:rsid w:val="00DA0B07"/>
    <w:rsid w:val="00DA0EB1"/>
    <w:rsid w:val="00DA0FAE"/>
    <w:rsid w:val="00DA105E"/>
    <w:rsid w:val="00DA10BA"/>
    <w:rsid w:val="00DA1465"/>
    <w:rsid w:val="00DA1609"/>
    <w:rsid w:val="00DA21F5"/>
    <w:rsid w:val="00DA3578"/>
    <w:rsid w:val="00DA35B9"/>
    <w:rsid w:val="00DA478B"/>
    <w:rsid w:val="00DA4A04"/>
    <w:rsid w:val="00DA6D5A"/>
    <w:rsid w:val="00DA7A05"/>
    <w:rsid w:val="00DB03A4"/>
    <w:rsid w:val="00DB09F4"/>
    <w:rsid w:val="00DB1E63"/>
    <w:rsid w:val="00DB2A5C"/>
    <w:rsid w:val="00DB2EB6"/>
    <w:rsid w:val="00DB347E"/>
    <w:rsid w:val="00DB3E3E"/>
    <w:rsid w:val="00DB4667"/>
    <w:rsid w:val="00DB58A0"/>
    <w:rsid w:val="00DB58CB"/>
    <w:rsid w:val="00DB69B6"/>
    <w:rsid w:val="00DB7002"/>
    <w:rsid w:val="00DB7840"/>
    <w:rsid w:val="00DB7B65"/>
    <w:rsid w:val="00DC03C8"/>
    <w:rsid w:val="00DC19DB"/>
    <w:rsid w:val="00DC1A26"/>
    <w:rsid w:val="00DC1FBC"/>
    <w:rsid w:val="00DC2552"/>
    <w:rsid w:val="00DC2FB2"/>
    <w:rsid w:val="00DC3712"/>
    <w:rsid w:val="00DC3A7E"/>
    <w:rsid w:val="00DC55D7"/>
    <w:rsid w:val="00DC584C"/>
    <w:rsid w:val="00DC5A62"/>
    <w:rsid w:val="00DC6429"/>
    <w:rsid w:val="00DC69E4"/>
    <w:rsid w:val="00DC6FA7"/>
    <w:rsid w:val="00DD01E3"/>
    <w:rsid w:val="00DD19A5"/>
    <w:rsid w:val="00DD3D7D"/>
    <w:rsid w:val="00DD3E72"/>
    <w:rsid w:val="00DD517B"/>
    <w:rsid w:val="00DD5BEF"/>
    <w:rsid w:val="00DD5EBE"/>
    <w:rsid w:val="00DD6911"/>
    <w:rsid w:val="00DD783A"/>
    <w:rsid w:val="00DE01A4"/>
    <w:rsid w:val="00DE0422"/>
    <w:rsid w:val="00DE0530"/>
    <w:rsid w:val="00DE05A3"/>
    <w:rsid w:val="00DE0DF8"/>
    <w:rsid w:val="00DE12AD"/>
    <w:rsid w:val="00DE2FF2"/>
    <w:rsid w:val="00DE43AF"/>
    <w:rsid w:val="00DE4C9C"/>
    <w:rsid w:val="00DE72B0"/>
    <w:rsid w:val="00DE749F"/>
    <w:rsid w:val="00DE7822"/>
    <w:rsid w:val="00DE7B3A"/>
    <w:rsid w:val="00DF0250"/>
    <w:rsid w:val="00DF0282"/>
    <w:rsid w:val="00DF0E0A"/>
    <w:rsid w:val="00DF1864"/>
    <w:rsid w:val="00DF20E6"/>
    <w:rsid w:val="00DF2CA5"/>
    <w:rsid w:val="00DF3865"/>
    <w:rsid w:val="00DF395E"/>
    <w:rsid w:val="00DF4C16"/>
    <w:rsid w:val="00DF563E"/>
    <w:rsid w:val="00DF5F6D"/>
    <w:rsid w:val="00DF64F1"/>
    <w:rsid w:val="00DF66B4"/>
    <w:rsid w:val="00DF709D"/>
    <w:rsid w:val="00DF7206"/>
    <w:rsid w:val="00DF7FF9"/>
    <w:rsid w:val="00E000B7"/>
    <w:rsid w:val="00E01AEF"/>
    <w:rsid w:val="00E01BB9"/>
    <w:rsid w:val="00E024B3"/>
    <w:rsid w:val="00E0294D"/>
    <w:rsid w:val="00E03E09"/>
    <w:rsid w:val="00E0443C"/>
    <w:rsid w:val="00E059AF"/>
    <w:rsid w:val="00E06582"/>
    <w:rsid w:val="00E06726"/>
    <w:rsid w:val="00E076A9"/>
    <w:rsid w:val="00E1088B"/>
    <w:rsid w:val="00E10C40"/>
    <w:rsid w:val="00E13489"/>
    <w:rsid w:val="00E146E8"/>
    <w:rsid w:val="00E14814"/>
    <w:rsid w:val="00E149E3"/>
    <w:rsid w:val="00E14E9B"/>
    <w:rsid w:val="00E15DFA"/>
    <w:rsid w:val="00E16A1B"/>
    <w:rsid w:val="00E17204"/>
    <w:rsid w:val="00E20280"/>
    <w:rsid w:val="00E20AC0"/>
    <w:rsid w:val="00E211CD"/>
    <w:rsid w:val="00E22566"/>
    <w:rsid w:val="00E23401"/>
    <w:rsid w:val="00E25922"/>
    <w:rsid w:val="00E25B73"/>
    <w:rsid w:val="00E264CC"/>
    <w:rsid w:val="00E26B65"/>
    <w:rsid w:val="00E26BF3"/>
    <w:rsid w:val="00E30AD6"/>
    <w:rsid w:val="00E30C6E"/>
    <w:rsid w:val="00E30CAA"/>
    <w:rsid w:val="00E31A4D"/>
    <w:rsid w:val="00E31A4F"/>
    <w:rsid w:val="00E32B5B"/>
    <w:rsid w:val="00E340D9"/>
    <w:rsid w:val="00E34C5A"/>
    <w:rsid w:val="00E34D57"/>
    <w:rsid w:val="00E356F8"/>
    <w:rsid w:val="00E35C00"/>
    <w:rsid w:val="00E36E8C"/>
    <w:rsid w:val="00E3733F"/>
    <w:rsid w:val="00E375C2"/>
    <w:rsid w:val="00E40CC4"/>
    <w:rsid w:val="00E40F16"/>
    <w:rsid w:val="00E4144F"/>
    <w:rsid w:val="00E41573"/>
    <w:rsid w:val="00E4235B"/>
    <w:rsid w:val="00E435D2"/>
    <w:rsid w:val="00E44203"/>
    <w:rsid w:val="00E44F19"/>
    <w:rsid w:val="00E4513F"/>
    <w:rsid w:val="00E45515"/>
    <w:rsid w:val="00E460EF"/>
    <w:rsid w:val="00E460F1"/>
    <w:rsid w:val="00E46AC7"/>
    <w:rsid w:val="00E46C01"/>
    <w:rsid w:val="00E47ED6"/>
    <w:rsid w:val="00E51F52"/>
    <w:rsid w:val="00E529E1"/>
    <w:rsid w:val="00E5304D"/>
    <w:rsid w:val="00E54ED2"/>
    <w:rsid w:val="00E557EA"/>
    <w:rsid w:val="00E56B5D"/>
    <w:rsid w:val="00E56B85"/>
    <w:rsid w:val="00E57588"/>
    <w:rsid w:val="00E60C18"/>
    <w:rsid w:val="00E6122D"/>
    <w:rsid w:val="00E62194"/>
    <w:rsid w:val="00E634EE"/>
    <w:rsid w:val="00E635BE"/>
    <w:rsid w:val="00E6378F"/>
    <w:rsid w:val="00E64996"/>
    <w:rsid w:val="00E65FBF"/>
    <w:rsid w:val="00E666BF"/>
    <w:rsid w:val="00E6695F"/>
    <w:rsid w:val="00E67216"/>
    <w:rsid w:val="00E67469"/>
    <w:rsid w:val="00E70595"/>
    <w:rsid w:val="00E70704"/>
    <w:rsid w:val="00E72D46"/>
    <w:rsid w:val="00E73288"/>
    <w:rsid w:val="00E747E9"/>
    <w:rsid w:val="00E75662"/>
    <w:rsid w:val="00E767EC"/>
    <w:rsid w:val="00E76B34"/>
    <w:rsid w:val="00E7720F"/>
    <w:rsid w:val="00E77682"/>
    <w:rsid w:val="00E80712"/>
    <w:rsid w:val="00E807C6"/>
    <w:rsid w:val="00E815C9"/>
    <w:rsid w:val="00E81A7D"/>
    <w:rsid w:val="00E81D50"/>
    <w:rsid w:val="00E8347C"/>
    <w:rsid w:val="00E834CC"/>
    <w:rsid w:val="00E84742"/>
    <w:rsid w:val="00E8643F"/>
    <w:rsid w:val="00E8757C"/>
    <w:rsid w:val="00E90435"/>
    <w:rsid w:val="00E91D50"/>
    <w:rsid w:val="00E9287C"/>
    <w:rsid w:val="00E92B24"/>
    <w:rsid w:val="00E92BE7"/>
    <w:rsid w:val="00E92E3D"/>
    <w:rsid w:val="00E93A4D"/>
    <w:rsid w:val="00E9438F"/>
    <w:rsid w:val="00E948B3"/>
    <w:rsid w:val="00E94B5D"/>
    <w:rsid w:val="00E959ED"/>
    <w:rsid w:val="00E96C3A"/>
    <w:rsid w:val="00E97C0B"/>
    <w:rsid w:val="00E97C61"/>
    <w:rsid w:val="00E97E09"/>
    <w:rsid w:val="00EA058D"/>
    <w:rsid w:val="00EA085C"/>
    <w:rsid w:val="00EA09AA"/>
    <w:rsid w:val="00EA1CF8"/>
    <w:rsid w:val="00EA243C"/>
    <w:rsid w:val="00EA2497"/>
    <w:rsid w:val="00EA2742"/>
    <w:rsid w:val="00EA29CF"/>
    <w:rsid w:val="00EA5193"/>
    <w:rsid w:val="00EA5A88"/>
    <w:rsid w:val="00EA7493"/>
    <w:rsid w:val="00EB04CE"/>
    <w:rsid w:val="00EB07E7"/>
    <w:rsid w:val="00EB092B"/>
    <w:rsid w:val="00EB1CBD"/>
    <w:rsid w:val="00EB2612"/>
    <w:rsid w:val="00EB62E0"/>
    <w:rsid w:val="00EB6932"/>
    <w:rsid w:val="00EB79E0"/>
    <w:rsid w:val="00EB7A0D"/>
    <w:rsid w:val="00EC00A4"/>
    <w:rsid w:val="00EC1AAF"/>
    <w:rsid w:val="00EC2B8B"/>
    <w:rsid w:val="00EC2E7B"/>
    <w:rsid w:val="00EC3225"/>
    <w:rsid w:val="00EC33C3"/>
    <w:rsid w:val="00EC35AD"/>
    <w:rsid w:val="00EC35EC"/>
    <w:rsid w:val="00EC48F5"/>
    <w:rsid w:val="00EC551F"/>
    <w:rsid w:val="00EC5EFB"/>
    <w:rsid w:val="00EC766B"/>
    <w:rsid w:val="00ED0537"/>
    <w:rsid w:val="00ED0C25"/>
    <w:rsid w:val="00ED13D8"/>
    <w:rsid w:val="00ED169D"/>
    <w:rsid w:val="00ED2697"/>
    <w:rsid w:val="00ED386B"/>
    <w:rsid w:val="00ED3B7D"/>
    <w:rsid w:val="00ED4623"/>
    <w:rsid w:val="00ED48C2"/>
    <w:rsid w:val="00ED55A3"/>
    <w:rsid w:val="00ED579A"/>
    <w:rsid w:val="00ED57BB"/>
    <w:rsid w:val="00ED59ED"/>
    <w:rsid w:val="00ED5B3D"/>
    <w:rsid w:val="00ED6047"/>
    <w:rsid w:val="00ED6521"/>
    <w:rsid w:val="00ED65C3"/>
    <w:rsid w:val="00ED6CFE"/>
    <w:rsid w:val="00ED7A52"/>
    <w:rsid w:val="00EE0584"/>
    <w:rsid w:val="00EE06C4"/>
    <w:rsid w:val="00EE1D3A"/>
    <w:rsid w:val="00EE24C6"/>
    <w:rsid w:val="00EE272B"/>
    <w:rsid w:val="00EE31E5"/>
    <w:rsid w:val="00EE3534"/>
    <w:rsid w:val="00EE371C"/>
    <w:rsid w:val="00EE39AC"/>
    <w:rsid w:val="00EE4DFA"/>
    <w:rsid w:val="00EE568F"/>
    <w:rsid w:val="00EE67AA"/>
    <w:rsid w:val="00EE682F"/>
    <w:rsid w:val="00EE6A3D"/>
    <w:rsid w:val="00EE6B56"/>
    <w:rsid w:val="00EE6C60"/>
    <w:rsid w:val="00EE6EBD"/>
    <w:rsid w:val="00EE788D"/>
    <w:rsid w:val="00EE7911"/>
    <w:rsid w:val="00EF053C"/>
    <w:rsid w:val="00EF0AA4"/>
    <w:rsid w:val="00EF2562"/>
    <w:rsid w:val="00EF2ADE"/>
    <w:rsid w:val="00EF2CE5"/>
    <w:rsid w:val="00EF3886"/>
    <w:rsid w:val="00EF390D"/>
    <w:rsid w:val="00EF5A88"/>
    <w:rsid w:val="00EF7852"/>
    <w:rsid w:val="00F00EF0"/>
    <w:rsid w:val="00F010BE"/>
    <w:rsid w:val="00F016F6"/>
    <w:rsid w:val="00F03B36"/>
    <w:rsid w:val="00F03B82"/>
    <w:rsid w:val="00F04A57"/>
    <w:rsid w:val="00F04EDB"/>
    <w:rsid w:val="00F0509D"/>
    <w:rsid w:val="00F051E3"/>
    <w:rsid w:val="00F05996"/>
    <w:rsid w:val="00F062FA"/>
    <w:rsid w:val="00F11B1B"/>
    <w:rsid w:val="00F121C4"/>
    <w:rsid w:val="00F1262F"/>
    <w:rsid w:val="00F13B97"/>
    <w:rsid w:val="00F14091"/>
    <w:rsid w:val="00F15134"/>
    <w:rsid w:val="00F156B9"/>
    <w:rsid w:val="00F15DF3"/>
    <w:rsid w:val="00F15E40"/>
    <w:rsid w:val="00F17245"/>
    <w:rsid w:val="00F20674"/>
    <w:rsid w:val="00F20AE0"/>
    <w:rsid w:val="00F212F4"/>
    <w:rsid w:val="00F21485"/>
    <w:rsid w:val="00F21D33"/>
    <w:rsid w:val="00F21F20"/>
    <w:rsid w:val="00F2210E"/>
    <w:rsid w:val="00F22657"/>
    <w:rsid w:val="00F22A55"/>
    <w:rsid w:val="00F23101"/>
    <w:rsid w:val="00F237F2"/>
    <w:rsid w:val="00F237FF"/>
    <w:rsid w:val="00F24182"/>
    <w:rsid w:val="00F25125"/>
    <w:rsid w:val="00F259EB"/>
    <w:rsid w:val="00F25B7F"/>
    <w:rsid w:val="00F26226"/>
    <w:rsid w:val="00F26537"/>
    <w:rsid w:val="00F27FB2"/>
    <w:rsid w:val="00F304E5"/>
    <w:rsid w:val="00F30799"/>
    <w:rsid w:val="00F30DDE"/>
    <w:rsid w:val="00F323C0"/>
    <w:rsid w:val="00F32897"/>
    <w:rsid w:val="00F32D25"/>
    <w:rsid w:val="00F33AB1"/>
    <w:rsid w:val="00F341A9"/>
    <w:rsid w:val="00F350AC"/>
    <w:rsid w:val="00F35269"/>
    <w:rsid w:val="00F36B44"/>
    <w:rsid w:val="00F409A8"/>
    <w:rsid w:val="00F4223D"/>
    <w:rsid w:val="00F42A7C"/>
    <w:rsid w:val="00F44481"/>
    <w:rsid w:val="00F44932"/>
    <w:rsid w:val="00F45D7F"/>
    <w:rsid w:val="00F4630A"/>
    <w:rsid w:val="00F46CA7"/>
    <w:rsid w:val="00F4795D"/>
    <w:rsid w:val="00F47D50"/>
    <w:rsid w:val="00F47F92"/>
    <w:rsid w:val="00F501BE"/>
    <w:rsid w:val="00F50B91"/>
    <w:rsid w:val="00F51B94"/>
    <w:rsid w:val="00F52CC4"/>
    <w:rsid w:val="00F539BD"/>
    <w:rsid w:val="00F53B51"/>
    <w:rsid w:val="00F54212"/>
    <w:rsid w:val="00F54E03"/>
    <w:rsid w:val="00F55D49"/>
    <w:rsid w:val="00F56140"/>
    <w:rsid w:val="00F60282"/>
    <w:rsid w:val="00F617F3"/>
    <w:rsid w:val="00F620F5"/>
    <w:rsid w:val="00F627E5"/>
    <w:rsid w:val="00F6509F"/>
    <w:rsid w:val="00F65485"/>
    <w:rsid w:val="00F654FA"/>
    <w:rsid w:val="00F66C70"/>
    <w:rsid w:val="00F66E17"/>
    <w:rsid w:val="00F66E71"/>
    <w:rsid w:val="00F67769"/>
    <w:rsid w:val="00F6780C"/>
    <w:rsid w:val="00F67AF9"/>
    <w:rsid w:val="00F67FC6"/>
    <w:rsid w:val="00F7023B"/>
    <w:rsid w:val="00F705E5"/>
    <w:rsid w:val="00F7348A"/>
    <w:rsid w:val="00F73653"/>
    <w:rsid w:val="00F73A8A"/>
    <w:rsid w:val="00F747DE"/>
    <w:rsid w:val="00F75813"/>
    <w:rsid w:val="00F758DF"/>
    <w:rsid w:val="00F75F84"/>
    <w:rsid w:val="00F7641C"/>
    <w:rsid w:val="00F76DF5"/>
    <w:rsid w:val="00F7733F"/>
    <w:rsid w:val="00F776D8"/>
    <w:rsid w:val="00F8040C"/>
    <w:rsid w:val="00F81A1F"/>
    <w:rsid w:val="00F82061"/>
    <w:rsid w:val="00F821EE"/>
    <w:rsid w:val="00F82C7D"/>
    <w:rsid w:val="00F85A25"/>
    <w:rsid w:val="00F85BAC"/>
    <w:rsid w:val="00F8621F"/>
    <w:rsid w:val="00F87669"/>
    <w:rsid w:val="00F87913"/>
    <w:rsid w:val="00F90088"/>
    <w:rsid w:val="00F92D15"/>
    <w:rsid w:val="00F92DC1"/>
    <w:rsid w:val="00F93083"/>
    <w:rsid w:val="00F93847"/>
    <w:rsid w:val="00F93C6E"/>
    <w:rsid w:val="00F95BF4"/>
    <w:rsid w:val="00F96068"/>
    <w:rsid w:val="00F97404"/>
    <w:rsid w:val="00FA043E"/>
    <w:rsid w:val="00FA053A"/>
    <w:rsid w:val="00FA1CD0"/>
    <w:rsid w:val="00FA1E25"/>
    <w:rsid w:val="00FA1F6D"/>
    <w:rsid w:val="00FA3857"/>
    <w:rsid w:val="00FA3B5D"/>
    <w:rsid w:val="00FA45C2"/>
    <w:rsid w:val="00FA46DE"/>
    <w:rsid w:val="00FA4DAA"/>
    <w:rsid w:val="00FA75B3"/>
    <w:rsid w:val="00FA7966"/>
    <w:rsid w:val="00FB2049"/>
    <w:rsid w:val="00FB2345"/>
    <w:rsid w:val="00FB2573"/>
    <w:rsid w:val="00FB2871"/>
    <w:rsid w:val="00FB2CCC"/>
    <w:rsid w:val="00FB30B9"/>
    <w:rsid w:val="00FB3DF2"/>
    <w:rsid w:val="00FB45D2"/>
    <w:rsid w:val="00FB50D8"/>
    <w:rsid w:val="00FB60E8"/>
    <w:rsid w:val="00FB6857"/>
    <w:rsid w:val="00FB6F66"/>
    <w:rsid w:val="00FB703A"/>
    <w:rsid w:val="00FB7081"/>
    <w:rsid w:val="00FB7547"/>
    <w:rsid w:val="00FB78EE"/>
    <w:rsid w:val="00FC02D5"/>
    <w:rsid w:val="00FC0A73"/>
    <w:rsid w:val="00FC12A9"/>
    <w:rsid w:val="00FC246C"/>
    <w:rsid w:val="00FC2E38"/>
    <w:rsid w:val="00FC3414"/>
    <w:rsid w:val="00FC3D2C"/>
    <w:rsid w:val="00FC42E0"/>
    <w:rsid w:val="00FC4F31"/>
    <w:rsid w:val="00FC5561"/>
    <w:rsid w:val="00FC5672"/>
    <w:rsid w:val="00FC5835"/>
    <w:rsid w:val="00FC5F2B"/>
    <w:rsid w:val="00FC5F70"/>
    <w:rsid w:val="00FC6196"/>
    <w:rsid w:val="00FC68C8"/>
    <w:rsid w:val="00FC6FFC"/>
    <w:rsid w:val="00FC70AE"/>
    <w:rsid w:val="00FC729F"/>
    <w:rsid w:val="00FC7DC3"/>
    <w:rsid w:val="00FD03C7"/>
    <w:rsid w:val="00FD0D75"/>
    <w:rsid w:val="00FD0E83"/>
    <w:rsid w:val="00FD13BD"/>
    <w:rsid w:val="00FD18F1"/>
    <w:rsid w:val="00FD1F6A"/>
    <w:rsid w:val="00FD2509"/>
    <w:rsid w:val="00FD25F5"/>
    <w:rsid w:val="00FD295A"/>
    <w:rsid w:val="00FD371D"/>
    <w:rsid w:val="00FD3A28"/>
    <w:rsid w:val="00FD4032"/>
    <w:rsid w:val="00FD40C1"/>
    <w:rsid w:val="00FD40DE"/>
    <w:rsid w:val="00FD423B"/>
    <w:rsid w:val="00FD4529"/>
    <w:rsid w:val="00FD5722"/>
    <w:rsid w:val="00FD5F7F"/>
    <w:rsid w:val="00FD661B"/>
    <w:rsid w:val="00FD67EC"/>
    <w:rsid w:val="00FD6CE2"/>
    <w:rsid w:val="00FD6E16"/>
    <w:rsid w:val="00FE0548"/>
    <w:rsid w:val="00FE0BE3"/>
    <w:rsid w:val="00FE0C99"/>
    <w:rsid w:val="00FE0FC6"/>
    <w:rsid w:val="00FE1979"/>
    <w:rsid w:val="00FE22C1"/>
    <w:rsid w:val="00FE456C"/>
    <w:rsid w:val="00FE5C93"/>
    <w:rsid w:val="00FE5EF8"/>
    <w:rsid w:val="00FE65A0"/>
    <w:rsid w:val="00FF150D"/>
    <w:rsid w:val="00FF2157"/>
    <w:rsid w:val="00FF2B53"/>
    <w:rsid w:val="00FF3A4E"/>
    <w:rsid w:val="00FF401D"/>
    <w:rsid w:val="00FF4347"/>
    <w:rsid w:val="00FF43D4"/>
    <w:rsid w:val="00FF43E0"/>
    <w:rsid w:val="00FF464C"/>
    <w:rsid w:val="00FF4750"/>
    <w:rsid w:val="00FF4C39"/>
    <w:rsid w:val="03572041"/>
    <w:rsid w:val="1C890213"/>
    <w:rsid w:val="22763E52"/>
    <w:rsid w:val="3B0524F7"/>
    <w:rsid w:val="427B224F"/>
    <w:rsid w:val="67FFFC2C"/>
    <w:rsid w:val="6EEE2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99" w:semiHidden="0" w:name="heading 2"/>
    <w:lsdException w:unhideWhenUsed="0" w:uiPriority="0" w:semiHidden="0" w:name="heading 3"/>
    <w:lsdException w:qFormat="1" w:unhideWhenUsed="0" w:uiPriority="9"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qFormat/>
    <w:uiPriority w:val="99"/>
    <w:pPr>
      <w:ind w:left="149"/>
      <w:outlineLvl w:val="1"/>
    </w:pPr>
    <w:rPr>
      <w:rFonts w:ascii="Arial Unicode MS" w:hAnsi="Arial Unicode MS" w:eastAsia="宋体"/>
      <w:sz w:val="36"/>
      <w:szCs w:val="36"/>
    </w:rPr>
  </w:style>
  <w:style w:type="paragraph" w:styleId="2">
    <w:name w:val="heading 4"/>
    <w:basedOn w:val="3"/>
    <w:next w:val="1"/>
    <w:qFormat/>
    <w:uiPriority w:val="9"/>
    <w:pPr>
      <w:keepNext/>
      <w:keepLines/>
      <w:spacing w:before="280" w:after="290" w:line="376" w:lineRule="atLeast"/>
      <w:outlineLvl w:val="3"/>
    </w:pPr>
    <w:rPr>
      <w:rFonts w:ascii="Cambria" w:hAnsi="Cambria" w:eastAsia="宋体" w:cs="Times New Roman"/>
      <w:b/>
      <w:bCs/>
      <w:sz w:val="28"/>
      <w:szCs w:val="28"/>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1437</Words>
  <Characters>8193</Characters>
  <Lines>68</Lines>
  <Paragraphs>19</Paragraphs>
  <TotalTime>0</TotalTime>
  <ScaleCrop>false</ScaleCrop>
  <LinksUpToDate>false</LinksUpToDate>
  <CharactersWithSpaces>9611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2021-12-13T15:09:00Z</dcterms:created>
  <dc:creator>文印中心_万娟</dc:creator>
  <cp:lastModifiedBy>Administrator</cp:lastModifiedBy>
  <cp:lastPrinted>2021-12-13T15:20:00Z</cp:lastPrinted>
  <dcterms:modified xsi:type="dcterms:W3CDTF">2021-12-24T01:56:52Z</dcterms:modified>
  <dc:title>重庆市人民政府办公厅</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E22C33CB98FB400C82A27E4B4148F77D</vt:lpwstr>
  </property>
</Properties>
</file>