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pict>
          <v:shape id="_x0000_s2052" o:spid="_x0000_s2052" o:spt="136" type="#_x0000_t136" style="position:absolute;left:0pt;margin-left:18pt;margin-top:21.6pt;height:53.85pt;width:414pt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重庆市民政局" style="font-family:方正小标宋_GBK;font-size:36pt;v-text-align:center;v-text-spacing:98304f;"/>
          </v:shape>
        </w:pict>
      </w:r>
    </w:p>
    <w:p>
      <w:pPr>
        <w:widowControl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snapToGrid w:val="0"/>
        <w:spacing w:line="240" w:lineRule="auto"/>
        <w:jc w:val="center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widowControl w:val="0"/>
        <w:snapToGrid w:val="0"/>
        <w:spacing w:line="578" w:lineRule="exact"/>
        <w:ind w:firstLine="320" w:firstLineChars="100"/>
        <w:jc w:val="center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渝民〔20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24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61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widowControl w:val="0"/>
        <w:snapToGrid w:val="0"/>
        <w:spacing w:line="360" w:lineRule="auto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4"/>
          <w:szCs w:val="24"/>
        </w:rPr>
        <w:pict>
          <v:line id="_x0000_s2053" o:spid="_x0000_s2053" o:spt="20" style="position:absolute;left:0pt;margin-left:-5pt;margin-top:4.35pt;height:0pt;width:459.2pt;z-index:251659264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widowControl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重庆市民政局</w:t>
      </w:r>
    </w:p>
    <w:p>
      <w:pPr>
        <w:overflowPunct w:val="0"/>
        <w:adjustRightInd w:val="0"/>
        <w:snapToGrid w:val="0"/>
        <w:spacing w:line="579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关于持续开展养老服务领域食品安全</w:t>
      </w:r>
    </w:p>
    <w:p>
      <w:pPr>
        <w:overflowPunct w:val="0"/>
        <w:adjustRightInd w:val="0"/>
        <w:snapToGrid w:val="0"/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专项整治行动的通知</w:t>
      </w:r>
    </w:p>
    <w:p>
      <w:pPr>
        <w:widowControl w:val="0"/>
        <w:overflowPunct w:val="0"/>
        <w:adjustRightInd w:val="0"/>
        <w:snapToGrid w:val="0"/>
        <w:spacing w:line="240" w:lineRule="auto"/>
        <w:rPr>
          <w:rFonts w:ascii="方正仿宋_GBK" w:eastAsia="方正仿宋_GBK"/>
          <w:sz w:val="32"/>
          <w:szCs w:val="32"/>
        </w:rPr>
      </w:pPr>
    </w:p>
    <w:p>
      <w:pPr>
        <w:overflowPunct w:val="0"/>
        <w:adjustRightInd w:val="0"/>
        <w:snapToGrid w:val="0"/>
        <w:spacing w:line="579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各区县(自治县)民政局，两江新区社会保障局、西部科学城重庆高新区公共服务局、万盛经开区民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政局，直属有关单位：</w:t>
      </w:r>
    </w:p>
    <w:p>
      <w:pPr>
        <w:widowControl w:val="0"/>
        <w:overflowPunct w:val="0"/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年，全市养老服务领域食品安全专项整治行动，在民政部有力指导和市委、市政府的正确领导下，牢固树立以人民为中心的发展思想，坚持人民至上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生命至上，推动专项整治行动落地落实，取得一定成效。为深入贯彻落实“四个最严”要求，健全制度机制，强化协调联动，严格监管执法，提升养老服务领域食品安全管理水平，根据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年市政府工作报告交办任务,市民政局决定持续开展养老服务领域食品安全专项整治行动，现将有关事宜通知如下。</w:t>
      </w:r>
    </w:p>
    <w:p>
      <w:pPr>
        <w:widowControl w:val="0"/>
        <w:overflowPunct w:val="0"/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一、提高政治站位，统一思想认识</w:t>
      </w:r>
    </w:p>
    <w:p>
      <w:pPr>
        <w:widowControl w:val="0"/>
        <w:overflowPunct w:val="0"/>
        <w:adjustRightInd w:val="0"/>
        <w:snapToGrid w:val="0"/>
        <w:spacing w:line="579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民以食为天，食以安为先。习近平总书记历来高度重视食品安全工作，食品安全事关人民群众身体健康和生命安全，保障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提供餐饮服务的养老机构、社区老年食堂、老年助餐点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食品安全是各级义不容辞的责任。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提供餐饮服务的养老机构、社区老年食堂、老年助餐点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对社会餐饮而言，具有很大的特殊性，有的规模很大、动辄成百上千人就餐，少的也有几十人，有的是外包购买服务，还有的是多种形式混合经营，管理水平参差不齐，一旦出现食品安全问题，很可能导致群体性事件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就餐对象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主要是老年人、残疾人等重点敏感人群，服务对象家属对食品安全问题的容忍度低，即使是小问题，如果处置不当，都可能引发舆论炒作，导致社会性风险。</w:t>
      </w:r>
      <w:r>
        <w:rPr>
          <w:rFonts w:hint="eastAsia" w:eastAsia="方正仿宋_GBK"/>
          <w:sz w:val="32"/>
          <w:szCs w:val="32"/>
        </w:rPr>
        <w:t>各区县民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政部门、直属有关单位要</w:t>
      </w:r>
      <w:r>
        <w:rPr>
          <w:rFonts w:ascii="Times New Roman" w:hAnsi="Times New Roman" w:eastAsia="方正仿宋_GBK" w:cs="Times New Roman"/>
          <w:sz w:val="32"/>
          <w:szCs w:val="32"/>
        </w:rPr>
        <w:t>切实把思想和行动统一到党中央国务院决策部署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，及</w:t>
      </w:r>
      <w:r>
        <w:rPr>
          <w:rFonts w:ascii="Times New Roman" w:hAnsi="Times New Roman" w:eastAsia="方正仿宋_GBK" w:cs="Times New Roman"/>
          <w:sz w:val="32"/>
          <w:szCs w:val="32"/>
        </w:rPr>
        <w:t>市委、市政府和民政部工作安排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上来</w:t>
      </w:r>
      <w:r>
        <w:rPr>
          <w:rFonts w:ascii="Times New Roman" w:hAnsi="Times New Roman" w:eastAsia="方正仿宋_GBK" w:cs="Times New Roman"/>
          <w:sz w:val="32"/>
          <w:szCs w:val="32"/>
        </w:rPr>
        <w:t>，坚决克服麻痹思想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侥幸心理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、松劲心态</w:t>
      </w:r>
      <w:r>
        <w:rPr>
          <w:rFonts w:ascii="Times New Roman" w:hAnsi="Times New Roman" w:eastAsia="方正仿宋_GBK" w:cs="Times New Roman"/>
          <w:sz w:val="32"/>
          <w:szCs w:val="32"/>
        </w:rPr>
        <w:t>，清醒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认识养老服务</w:t>
      </w:r>
      <w:r>
        <w:rPr>
          <w:rFonts w:ascii="Times New Roman" w:hAnsi="Times New Roman" w:eastAsia="方正仿宋_GBK" w:cs="Times New Roman"/>
          <w:sz w:val="32"/>
          <w:szCs w:val="32"/>
        </w:rPr>
        <w:t>领域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食品</w:t>
      </w:r>
      <w:r>
        <w:rPr>
          <w:rFonts w:ascii="Times New Roman" w:hAnsi="Times New Roman" w:eastAsia="方正仿宋_GBK" w:cs="Times New Roman"/>
          <w:sz w:val="32"/>
          <w:szCs w:val="32"/>
        </w:rPr>
        <w:t>安全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大形势、总趋势</w:t>
      </w:r>
      <w:r>
        <w:rPr>
          <w:rFonts w:ascii="Times New Roman" w:hAnsi="Times New Roman" w:eastAsia="方正仿宋_GBK" w:cs="Times New Roman"/>
          <w:sz w:val="32"/>
          <w:szCs w:val="32"/>
        </w:rPr>
        <w:t>和问题短板，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以如履薄冰、如临深渊、如坐针毡的危机感，以“时时放心不下”的责任感和“时不我待”的紧迫感，强化底线思维，在工作部署上“扣扣子”、在责任履行上“担担子”、在任务落实上“钉钉子”，以扎实有效的工作举措</w:t>
      </w:r>
      <w:r>
        <w:rPr>
          <w:rFonts w:ascii="Times New Roman" w:hAnsi="Times New Roman" w:eastAsia="方正仿宋_GBK" w:cs="Times New Roman"/>
          <w:sz w:val="32"/>
          <w:szCs w:val="32"/>
        </w:rPr>
        <w:t>，抓紧抓实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专项整治</w:t>
      </w:r>
      <w:r>
        <w:rPr>
          <w:rFonts w:ascii="Times New Roman" w:hAnsi="Times New Roman" w:eastAsia="方正仿宋_GBK" w:cs="Times New Roman"/>
          <w:sz w:val="32"/>
          <w:szCs w:val="32"/>
        </w:rPr>
        <w:t>工作，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切实保障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养老服务</w:t>
      </w:r>
      <w:r>
        <w:rPr>
          <w:rFonts w:ascii="Times New Roman" w:hAnsi="Times New Roman" w:eastAsia="方正仿宋_GBK" w:cs="Times New Roman"/>
          <w:sz w:val="32"/>
          <w:szCs w:val="32"/>
        </w:rPr>
        <w:t>领域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“舌尖上的安全”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widowControl w:val="0"/>
        <w:overflowPunct w:val="0"/>
        <w:adjustRightInd w:val="0"/>
        <w:snapToGrid w:val="0"/>
        <w:spacing w:line="579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二、聚焦目标任务，强化责任履行</w:t>
      </w:r>
    </w:p>
    <w:p>
      <w:pPr>
        <w:widowControl w:val="0"/>
        <w:overflowPunct w:val="0"/>
        <w:adjustRightInd w:val="0"/>
        <w:snapToGrid w:val="0"/>
        <w:spacing w:line="579" w:lineRule="exact"/>
        <w:ind w:firstLine="640"/>
        <w:jc w:val="both"/>
        <w:textAlignment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（一）全面落实养老机构主体责任。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提供餐饮服务的养老机构、社区老年食堂、老年助餐点，应当依法取得食品经营许可，依照法律法规和食品安全标准从事食品经营行为。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切实担起第一责任的主体责任，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建立健全从业人员健康管理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、进货查验、加工操作、食品留样、信息公开等制度，按照《企业落实食品安全主体责任监督管理规定》，根据不同规模依法配备食品安全总监和食品安全员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。构建食品安全风险分级管控和隐患排查治理双重预防机制，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常态化组织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开展食品安全风险隐患自查自纠，确保发现问题清零见底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widowControl w:val="0"/>
        <w:overflowPunct w:val="0"/>
        <w:adjustRightInd w:val="0"/>
        <w:snapToGrid w:val="0"/>
        <w:spacing w:line="579" w:lineRule="exact"/>
        <w:ind w:firstLine="640"/>
        <w:jc w:val="both"/>
        <w:textAlignment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sz w:val="32"/>
          <w:szCs w:val="32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严格落实属地管理责任。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指导乡镇（街道）依据《中华人民共和国安全生产法》，将提供餐饮服务的养老机构、社区老年食堂、老年助餐点食品安全纳入监管范围，防止监管失位、脱断断链。逐一明确包保干部，做到定人、定点、定位、定责任，督促包保干部认真履行职责，加强对辖区提供餐饮服务的养老机构、社区老年食堂、老年助餐点食品安全开展监管督导。配合市场监管部门、民政</w:t>
      </w:r>
      <w:r>
        <w:rPr>
          <w:rFonts w:ascii="Times New Roman" w:hAnsi="Times New Roman" w:eastAsia="方正仿宋_GBK" w:cs="Times New Roman"/>
          <w:sz w:val="32"/>
          <w:szCs w:val="32"/>
        </w:rPr>
        <w:t>部门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督促提供餐饮服务的养老机构、社区老年食堂、老年助餐点及时消除食品安全风险隐患。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（三）切实落实行业主管责任。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按照“三管三必须”要求，加强对提供餐饮服务的养老机构、社区老年食堂、老年助餐点食品安全教育和日常管理，将其作为重点检查项目，纳入“双随机、一公开”抽查事项，开展综合监管。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严格执行食品安全“日管控、周排查、月调度”制度，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督促指导提供餐饮服务的养老机构、社区老年食堂、老年助餐点建立健全食品安全管理制度，落实食品安全管理责任，提高食品安全意识和能力。并积极协助市场监管部门开展监督检查工作。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三、采取多种方式，确保整治效果</w:t>
      </w:r>
    </w:p>
    <w:p>
      <w:pPr>
        <w:widowControl w:val="0"/>
        <w:overflowPunct w:val="0"/>
        <w:adjustRightInd w:val="0"/>
        <w:snapToGrid w:val="0"/>
        <w:spacing w:line="579" w:lineRule="exact"/>
        <w:ind w:firstLine="640" w:firstLineChars="200"/>
        <w:jc w:val="both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（一）注重协同配合。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专项整治行动，涉及提供餐饮服务的养老机构、社区老年食堂、老年助餐点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及行业主管部门、属地监管部门等，主体多、层级多，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各区县民政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部门要积极协调辖区市场监管部门立足职能、分工合作、整体推进。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通过建立联席会议制度和联络员制度，及时会商研判食品安全风险、紧密配合开展专项整治行动，形成信息互通、资源共享、风险共治、贯通协同的工作合力。</w:t>
      </w:r>
    </w:p>
    <w:p>
      <w:pPr>
        <w:widowControl w:val="0"/>
        <w:overflowPunct w:val="0"/>
        <w:adjustRightInd w:val="0"/>
        <w:snapToGrid w:val="0"/>
        <w:spacing w:line="579" w:lineRule="exact"/>
        <w:ind w:firstLine="640"/>
        <w:jc w:val="both"/>
        <w:textAlignment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（二）加快推行智慧监管。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积极引导提供餐饮服务的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养老机构、社区老年食堂、老年助餐点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入驻“重庆阳光食品”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APP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，开通“互联网+明厨亮灶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+AI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智能识别”功能，对重点区域、人员和行为进行视频直播、视频回放和智能抓拍，主动查找、发现食品安全问题及风险隐患，提升养老服务领域食品安全智慧监管水平</w:t>
      </w:r>
      <w:r>
        <w:rPr>
          <w:rFonts w:ascii="Times New Roman" w:hAnsi="Times New Roman" w:eastAsia="方正仿宋_GBK" w:cs="Times New Roman"/>
          <w:sz w:val="32"/>
          <w:szCs w:val="32"/>
        </w:rPr>
        <w:t>。2024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年，全市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提供餐饮服务就餐人数在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以上的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养老服务机构要实现“互联网+明厨亮灶+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AI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识别”全覆盖。</w:t>
      </w:r>
    </w:p>
    <w:p>
      <w:pPr>
        <w:pStyle w:val="4"/>
        <w:widowControl w:val="0"/>
        <w:overflowPunct w:val="0"/>
        <w:adjustRightInd w:val="0"/>
        <w:snapToGrid w:val="0"/>
        <w:spacing w:after="0" w:line="579" w:lineRule="exact"/>
        <w:ind w:firstLine="640" w:firstLineChars="200"/>
        <w:jc w:val="both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（三）严格监管执法。</w:t>
      </w:r>
      <w:r>
        <w:rPr>
          <w:rFonts w:ascii="Times New Roman" w:hAnsi="Times New Roman" w:eastAsia="方正仿宋_GBK" w:cs="Times New Roman"/>
          <w:sz w:val="32"/>
          <w:szCs w:val="32"/>
        </w:rPr>
        <w:t>积极构建以“双随机、一公开”监管和“互联网+监管”为基本手段、以重点监管为补充、以信用监管为基础的新型监管机制，进一步营造公平竞争的市场环境和法治化、便利化的营商环境。</w:t>
      </w:r>
      <w:r>
        <w:rPr>
          <w:rFonts w:hint="eastAsia" w:ascii="方正仿宋_GBK" w:hAnsi="方正仿宋_GBK" w:eastAsia="方正仿宋_GBK" w:cs="方正仿宋_GBK"/>
          <w:sz w:val="32"/>
        </w:rPr>
        <w:t>积极协调辖区市场监管部门联合执法，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坚持问题导向、目标导向，遵循“督帮一体”原则，</w:t>
      </w:r>
      <w:r>
        <w:rPr>
          <w:rFonts w:hint="eastAsia" w:ascii="方正仿宋_GBK" w:hAnsi="方正仿宋_GBK" w:eastAsia="方正仿宋_GBK" w:cs="方正仿宋_GBK"/>
          <w:sz w:val="32"/>
        </w:rPr>
        <w:t>采取“四不两直”方式，运用“穿透核查”方法，组织开展专项整治行动成效现场督查，督促指导落实不力的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有关单位</w:t>
      </w:r>
      <w:r>
        <w:rPr>
          <w:rFonts w:hint="eastAsia" w:ascii="方正仿宋_GBK" w:hAnsi="方正仿宋_GBK" w:eastAsia="方正仿宋_GBK" w:cs="方正仿宋_GBK"/>
          <w:sz w:val="32"/>
        </w:rPr>
        <w:t>及时整改，并视情通报、约谈，层层传导压力。依法依规处罚违法违规行为，涉嫌犯罪的及时移送公安机关，持续保持严惩重处的高压态势。</w:t>
      </w:r>
    </w:p>
    <w:p>
      <w:pPr>
        <w:overflowPunct w:val="0"/>
        <w:adjustRightInd w:val="0"/>
        <w:snapToGrid w:val="0"/>
        <w:spacing w:line="579" w:lineRule="exact"/>
        <w:jc w:val="both"/>
        <w:rPr>
          <w:rFonts w:hint="eastAsia"/>
        </w:rPr>
      </w:pPr>
    </w:p>
    <w:p>
      <w:pPr>
        <w:pStyle w:val="2"/>
        <w:rPr>
          <w:rFonts w:hint="eastAsia"/>
        </w:rPr>
      </w:pPr>
    </w:p>
    <w:p/>
    <w:p>
      <w:pPr>
        <w:widowControl w:val="0"/>
        <w:overflowPunct w:val="0"/>
        <w:adjustRightInd w:val="0"/>
        <w:snapToGrid w:val="0"/>
        <w:spacing w:line="579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重庆市民政局</w:t>
      </w:r>
    </w:p>
    <w:p>
      <w:pPr>
        <w:widowControl w:val="0"/>
        <w:overflowPunct w:val="0"/>
        <w:adjustRightInd w:val="0"/>
        <w:snapToGrid w:val="0"/>
        <w:spacing w:line="579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widowControl w:val="0"/>
        <w:snapToGrid w:val="0"/>
        <w:spacing w:line="579" w:lineRule="exact"/>
        <w:ind w:firstLine="5120" w:firstLineChars="160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 w:val="0"/>
        <w:adjustRightInd w:val="0"/>
        <w:snapToGrid w:val="0"/>
        <w:spacing w:line="240" w:lineRule="auto"/>
        <w:ind w:firstLine="4592" w:firstLineChars="1435"/>
        <w:jc w:val="both"/>
        <w:rPr>
          <w:rFonts w:ascii="Times New Roman" w:hAnsi="Times New Roman" w:eastAsia="方正仿宋_GBK" w:cs="Times New Roman"/>
          <w:sz w:val="32"/>
          <w:szCs w:val="21"/>
        </w:rPr>
      </w:pPr>
    </w:p>
    <w:p>
      <w:pPr>
        <w:widowControl w:val="0"/>
        <w:snapToGrid w:val="0"/>
        <w:spacing w:before="100" w:beforeAutospacing="1" w:after="100" w:afterAutospacing="1" w:line="300" w:lineRule="auto"/>
        <w:jc w:val="both"/>
        <w:rPr>
          <w:rFonts w:ascii="方正仿宋_GBK" w:hAnsi="宋体" w:eastAsia="方正仿宋_GBK" w:cs="宋体"/>
          <w:kern w:val="0"/>
          <w:sz w:val="18"/>
          <w:szCs w:val="18"/>
        </w:rPr>
      </w:pPr>
      <w:r>
        <w:rPr>
          <w:rFonts w:ascii="方正仿宋_GBK" w:hAnsi="宋体" w:eastAsia="方正仿宋_GBK" w:cs="宋体"/>
          <w:kern w:val="0"/>
          <w:sz w:val="28"/>
          <w:szCs w:val="28"/>
        </w:rPr>
        <w:pict>
          <v:line id="_x0000_s2056" o:spid="_x0000_s2056" o:spt="20" style="position:absolute;left:0pt;margin-left:0pt;margin-top:34.5pt;height:0pt;width:442.2pt;z-index:251661312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</w:p>
    <w:p>
      <w:pPr>
        <w:widowControl w:val="0"/>
        <w:snapToGrid w:val="0"/>
        <w:spacing w:line="300" w:lineRule="auto"/>
        <w:rPr>
          <w:rFonts w:eastAsia="方正仿宋_GBK"/>
        </w:rPr>
      </w:pPr>
      <w:r>
        <w:rPr>
          <w:rFonts w:ascii="Times New Roman" w:hAnsi="Times New Roman" w:eastAsia="方正仿宋_GBK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250825</wp:posOffset>
            </wp:positionV>
            <wp:extent cx="1781810" cy="647700"/>
            <wp:effectExtent l="19050" t="0" r="889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_GBK" w:cs="Times New Roman"/>
          <w:sz w:val="28"/>
          <w:szCs w:val="28"/>
        </w:rPr>
        <w:pict>
          <v:line id="_x0000_s2057" o:spid="_x0000_s2057" o:spt="20" style="position:absolute;left:0pt;margin-left:0pt;margin-top:18.9pt;height:0pt;width:442.2pt;z-index:251662336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重庆市民政局办公室       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     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8"/>
        </w:rPr>
        <w:t>20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24</w:t>
      </w:r>
      <w:r>
        <w:rPr>
          <w:rFonts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4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19</w:t>
      </w:r>
      <w:r>
        <w:rPr>
          <w:rFonts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7" w:type="first"/>
      <w:footerReference r:id="rId5" w:type="default"/>
      <w:footerReference r:id="rId6" w:type="even"/>
      <w:pgSz w:w="11906" w:h="16838"/>
      <w:pgMar w:top="2098" w:right="1474" w:bottom="1985" w:left="1588" w:header="851" w:footer="1474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6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kZTVmOTgxNjgyOWIxZDc5ZDZjZDNiM2I5ZDg4ZTcifQ=="/>
  </w:docVars>
  <w:rsids>
    <w:rsidRoot w:val="00DC39B3"/>
    <w:rsid w:val="000246FA"/>
    <w:rsid w:val="000446AF"/>
    <w:rsid w:val="000457F8"/>
    <w:rsid w:val="00062207"/>
    <w:rsid w:val="00135135"/>
    <w:rsid w:val="00186CAD"/>
    <w:rsid w:val="001F36D1"/>
    <w:rsid w:val="002428EC"/>
    <w:rsid w:val="00275621"/>
    <w:rsid w:val="00297984"/>
    <w:rsid w:val="00372C5A"/>
    <w:rsid w:val="003E1C5C"/>
    <w:rsid w:val="0040743A"/>
    <w:rsid w:val="00526F27"/>
    <w:rsid w:val="00600250"/>
    <w:rsid w:val="00685CAA"/>
    <w:rsid w:val="0072794A"/>
    <w:rsid w:val="00766959"/>
    <w:rsid w:val="00782985"/>
    <w:rsid w:val="007A6FFE"/>
    <w:rsid w:val="007D7A97"/>
    <w:rsid w:val="007F58C4"/>
    <w:rsid w:val="00813BED"/>
    <w:rsid w:val="009B0873"/>
    <w:rsid w:val="009D0A02"/>
    <w:rsid w:val="00A247AC"/>
    <w:rsid w:val="00A45F32"/>
    <w:rsid w:val="00A824A9"/>
    <w:rsid w:val="00AA22EE"/>
    <w:rsid w:val="00AF4703"/>
    <w:rsid w:val="00B90413"/>
    <w:rsid w:val="00BB5FB4"/>
    <w:rsid w:val="00BC1F77"/>
    <w:rsid w:val="00C96871"/>
    <w:rsid w:val="00CA2EE7"/>
    <w:rsid w:val="00D047E8"/>
    <w:rsid w:val="00D163C2"/>
    <w:rsid w:val="00D574EC"/>
    <w:rsid w:val="00DC39B3"/>
    <w:rsid w:val="00E054FE"/>
    <w:rsid w:val="00E130BA"/>
    <w:rsid w:val="00EE259A"/>
    <w:rsid w:val="00F11DFF"/>
    <w:rsid w:val="00FB1F0D"/>
    <w:rsid w:val="00FC29DC"/>
    <w:rsid w:val="00FE7B9D"/>
    <w:rsid w:val="00FF2D76"/>
    <w:rsid w:val="06D053E3"/>
    <w:rsid w:val="06FA0280"/>
    <w:rsid w:val="08F65D4D"/>
    <w:rsid w:val="0A3963A0"/>
    <w:rsid w:val="0CB34769"/>
    <w:rsid w:val="130C3416"/>
    <w:rsid w:val="145171B4"/>
    <w:rsid w:val="17C62DA9"/>
    <w:rsid w:val="188A1C22"/>
    <w:rsid w:val="1905279C"/>
    <w:rsid w:val="1BE743F4"/>
    <w:rsid w:val="1C2A284A"/>
    <w:rsid w:val="1EA37D80"/>
    <w:rsid w:val="21BF7511"/>
    <w:rsid w:val="21F3600A"/>
    <w:rsid w:val="23BA666E"/>
    <w:rsid w:val="27CF0E05"/>
    <w:rsid w:val="29074645"/>
    <w:rsid w:val="299448DE"/>
    <w:rsid w:val="2B4865F1"/>
    <w:rsid w:val="2C2032EA"/>
    <w:rsid w:val="2CEC6499"/>
    <w:rsid w:val="2DD22E55"/>
    <w:rsid w:val="30B62B94"/>
    <w:rsid w:val="3E4F15D4"/>
    <w:rsid w:val="3EA9712F"/>
    <w:rsid w:val="3ED21524"/>
    <w:rsid w:val="3FD95694"/>
    <w:rsid w:val="3FEEA6BF"/>
    <w:rsid w:val="468503F4"/>
    <w:rsid w:val="4CC813EB"/>
    <w:rsid w:val="4DF66A3F"/>
    <w:rsid w:val="537360EC"/>
    <w:rsid w:val="5C754931"/>
    <w:rsid w:val="5EDE8055"/>
    <w:rsid w:val="5F433EFF"/>
    <w:rsid w:val="5F4F39E4"/>
    <w:rsid w:val="5F5E5A03"/>
    <w:rsid w:val="5FBFB1C9"/>
    <w:rsid w:val="63DA9CF0"/>
    <w:rsid w:val="652F1B4F"/>
    <w:rsid w:val="6836646E"/>
    <w:rsid w:val="69EF3243"/>
    <w:rsid w:val="6B2C0D73"/>
    <w:rsid w:val="6C3B33C3"/>
    <w:rsid w:val="6DEC35BF"/>
    <w:rsid w:val="6E6F5CE4"/>
    <w:rsid w:val="72ED180E"/>
    <w:rsid w:val="75FA8994"/>
    <w:rsid w:val="76BF4231"/>
    <w:rsid w:val="779FF3E2"/>
    <w:rsid w:val="7E377362"/>
    <w:rsid w:val="7EFFCB34"/>
    <w:rsid w:val="7F55B0C6"/>
    <w:rsid w:val="7F7EBCE7"/>
    <w:rsid w:val="7F966FC6"/>
    <w:rsid w:val="7FC71571"/>
    <w:rsid w:val="7FF4785C"/>
    <w:rsid w:val="7FFEB58D"/>
    <w:rsid w:val="7FFFEA56"/>
    <w:rsid w:val="BD6A23E0"/>
    <w:rsid w:val="BF9AE467"/>
    <w:rsid w:val="BFEC44D5"/>
    <w:rsid w:val="CEEBCD77"/>
    <w:rsid w:val="CFE5F8F1"/>
    <w:rsid w:val="D6AF71BB"/>
    <w:rsid w:val="DCEE2B3B"/>
    <w:rsid w:val="DDEB4712"/>
    <w:rsid w:val="E7DDD1AA"/>
    <w:rsid w:val="EC5E4FA5"/>
    <w:rsid w:val="EF5D2E2D"/>
    <w:rsid w:val="EF7FC455"/>
    <w:rsid w:val="EFFD86B2"/>
    <w:rsid w:val="F5FDA9F3"/>
    <w:rsid w:val="F6AFA99A"/>
    <w:rsid w:val="FBAEC852"/>
    <w:rsid w:val="FD9DA7B5"/>
    <w:rsid w:val="FE9C1E18"/>
    <w:rsid w:val="FEF527B3"/>
    <w:rsid w:val="FEFD7CAE"/>
    <w:rsid w:val="FF5FB651"/>
    <w:rsid w:val="FF751CAB"/>
    <w:rsid w:val="FFDFA241"/>
    <w:rsid w:val="FFF7DA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nhideWhenUsed="0" w:uiPriority="0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94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Times New Roman" w:eastAsia="宋体"/>
    </w:rPr>
  </w:style>
  <w:style w:type="paragraph" w:styleId="4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index 4"/>
    <w:basedOn w:val="1"/>
    <w:next w:val="1"/>
    <w:qFormat/>
    <w:uiPriority w:val="0"/>
    <w:pPr>
      <w:ind w:left="600" w:leftChars="600"/>
    </w:pPr>
    <w:rPr>
      <w:rFonts w:ascii="Calibri" w:hAnsi="Calibri" w:eastAsia="宋体" w:cs="Times New Roman"/>
    </w:rPr>
  </w:style>
  <w:style w:type="paragraph" w:styleId="6">
    <w:name w:val="Plain Text"/>
    <w:basedOn w:val="1"/>
    <w:unhideWhenUsed/>
    <w:qFormat/>
    <w:uiPriority w:val="99"/>
    <w:rPr>
      <w:rFonts w:ascii="宋体" w:hAnsi="Courier New" w:eastAsia="方正仿宋_GBK"/>
    </w:rPr>
  </w:style>
  <w:style w:type="paragraph" w:styleId="7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Message Header"/>
    <w:basedOn w:val="1"/>
    <w:next w:val="4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cs="Times New Roman"/>
      <w:sz w:val="24"/>
    </w:rPr>
  </w:style>
  <w:style w:type="paragraph" w:styleId="12">
    <w:name w:val="Body Text First Indent"/>
    <w:basedOn w:val="4"/>
    <w:unhideWhenUsed/>
    <w:qFormat/>
    <w:uiPriority w:val="99"/>
    <w:pPr>
      <w:ind w:firstLine="664"/>
    </w:pPr>
    <w:rPr>
      <w:rFonts w:ascii="Times New Roman" w:hAnsi="Times New Roman" w:eastAsia="宋体" w:cs="Times New Roman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5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5"/>
    <w:link w:val="8"/>
    <w:qFormat/>
    <w:uiPriority w:val="99"/>
    <w:rPr>
      <w:sz w:val="18"/>
      <w:szCs w:val="18"/>
    </w:rPr>
  </w:style>
  <w:style w:type="character" w:customStyle="1" w:styleId="18">
    <w:name w:val="日期 Char"/>
    <w:basedOn w:val="15"/>
    <w:link w:val="7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3"/>
    <customShpInfo spid="_x0000_s2056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345</Words>
  <Characters>1968</Characters>
  <Lines>16</Lines>
  <Paragraphs>4</Paragraphs>
  <TotalTime>0</TotalTime>
  <ScaleCrop>false</ScaleCrop>
  <LinksUpToDate>false</LinksUpToDate>
  <CharactersWithSpaces>2309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2019-03-02T23:52:00Z</dcterms:created>
  <dc:creator>Hewlett-Packard Company</dc:creator>
  <cp:lastModifiedBy>陈桂源</cp:lastModifiedBy>
  <cp:lastPrinted>2024-04-17T16:37:00Z</cp:lastPrinted>
  <dcterms:modified xsi:type="dcterms:W3CDTF">2024-06-13T02:49:18Z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DC75AF461A0F42C9876EFFBDE3E7CFA3_13</vt:lpwstr>
  </property>
</Properties>
</file>