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老旧营运货车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报废更新资金补贴多跨事件</w:t>
      </w: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业务办理操作手册</w:t>
      </w: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重庆市道路运输事务中心</w:t>
      </w:r>
    </w:p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2025年3月5日</w:t>
      </w:r>
    </w:p>
    <w:p>
      <w:pPr>
        <w:jc w:val="center"/>
        <w:rPr>
          <w:rFonts w:hint="eastAsia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="方正仿宋_GBK" w:hAnsi="方正仿宋_GBK" w:eastAsia="方正仿宋_GBK" w:cs="方正仿宋_GBK"/>
          <w:b/>
          <w:bCs/>
          <w:sz w:val="24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b/>
          <w:bCs/>
          <w:sz w:val="24"/>
        </w:rPr>
        <w:t>资金补贴申请&amp;业务办理</w:t>
      </w:r>
    </w:p>
    <w:p>
      <w:pPr>
        <w:ind w:firstLine="42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申报人(公司/个体)通过“渝快办”APP进行两新报废更新资金补贴申报，行业管理部门通过“渝快政”端进行业务审批，以下是相关操作介绍：</w:t>
      </w:r>
    </w:p>
    <w:p>
      <w:pPr>
        <w:outlineLvl w:val="1"/>
        <w:rPr>
          <w:rFonts w:hint="eastAsia" w:ascii="方正仿宋_GBK" w:hAnsi="方正仿宋_GBK" w:eastAsia="方正仿宋_GBK" w:cs="方正仿宋_GBK"/>
          <w:b/>
          <w:bCs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1、“渝快办”端申报</w:t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（1）申报人需要通过应用市场下载“渝快办”APP，并进行安装，然后登录渝快办，如果没有账号需要进行注册。</w:t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5274310" cy="4491990"/>
            <wp:effectExtent l="0" t="0" r="2540" b="3810"/>
            <wp:docPr id="753424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2493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（2）通过“渝快办”APP搜索“渝悦修车”，找到“渝悦修车”应用，并进入应用。</w:t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628900" cy="5768340"/>
            <wp:effectExtent l="0" t="0" r="0" b="3810"/>
            <wp:docPr id="1451380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8057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636520" cy="5753100"/>
            <wp:effectExtent l="0" t="0" r="0" b="0"/>
            <wp:docPr id="6723756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75665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2518410" cy="5433060"/>
            <wp:effectExtent l="0" t="0" r="0" b="0"/>
            <wp:docPr id="2131760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6045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6012" cy="547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14:ligatures w14:val="standardContextual"/>
        </w:rPr>
        <w:drawing>
          <wp:inline distT="0" distB="0" distL="0" distR="0">
            <wp:extent cx="2630170" cy="5707380"/>
            <wp:effectExtent l="0" t="0" r="177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6348" cy="57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（3）在“渝悦修车”应用首页中找到“便民服务”下面的“两新补贴申请”，点击“老旧营运货车报废更新补贴申请”进入后会后会看到两个选项，分别为“开始申报”和“审核进度查询”。</w:t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2470150" cy="5367655"/>
            <wp:effectExtent l="0" t="0" r="6350" b="4445"/>
            <wp:docPr id="17146900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9002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14:ligatures w14:val="standardContextual"/>
        </w:rPr>
        <w:drawing>
          <wp:inline distT="0" distB="0" distL="0" distR="0">
            <wp:extent cx="2733675" cy="1670050"/>
            <wp:effectExtent l="0" t="0" r="9525" b="6350"/>
            <wp:docPr id="57573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386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0"/>
        <w:ind w:left="48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（4）开始申报，点击开始申报，选择申报类型（申请老旧营运货车仅报废补贴资金、申请老旧营运货车报废并更新补贴资金、申请仅新购置车辆补贴资金），不同申报类型所需填报的材料有区别。</w:t>
      </w:r>
    </w:p>
    <w:p>
      <w:pPr>
        <w:ind w:firstLine="482" w:firstLineChars="200"/>
        <w:rPr>
          <w:rFonts w:hint="eastAsia" w:ascii="方正仿宋_GBK" w:hAnsi="方正仿宋_GBK" w:eastAsia="方正仿宋_GBK" w:cs="方正仿宋_GBK"/>
          <w:b/>
          <w:bCs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申报注意事项：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b/>
          <w:bCs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“申报人信息”：申报一次后，后续再进行申报时系统会自动带出。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b/>
          <w:bCs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“补贴资金收款账户信息”：户名自动回填企业名称，无法更改。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b/>
          <w:bCs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 xml:space="preserve">“报废车辆信息”、“新购车辆信息”：下载样例表，在样例表中填写完成后上传，禁止更改样例表格式，否则系统无法识别，将导致申报失败。 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佐证材料，需一车一个PDF文件，以车牌号命名：</w:t>
      </w:r>
      <w:r>
        <w:rPr>
          <w:rFonts w:ascii="方正仿宋_GBK" w:hAnsi="方正仿宋_GBK" w:eastAsia="方正仿宋_GBK" w:cs="方正仿宋_GBK"/>
          <w:b/>
          <w:bCs/>
          <w:sz w:val="24"/>
        </w:rPr>
        <w:drawing>
          <wp:inline distT="0" distB="0" distL="0" distR="0">
            <wp:extent cx="1248410" cy="628015"/>
            <wp:effectExtent l="0" t="0" r="8890" b="635"/>
            <wp:docPr id="111061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1374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sz w:val="24"/>
        </w:rPr>
        <w:t>，多个PDF文件使用ZIP格式压缩为一个包后再上传。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报废车佐证材料文件中应包含：机动车注销证明、报废机动车回收证明、道路运输证注销证明。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新购车佐证材料文件中应包含：机动车行驶证、机动车登记证书、道路运输证、《减免车辆购置税的新能源汽车车型目录》书面证明</w:t>
      </w:r>
      <w:r>
        <w:rPr>
          <w:rFonts w:hint="eastAsia" w:ascii="方正仿宋_GBK" w:hAnsi="方正仿宋_GBK" w:eastAsia="方正仿宋_GBK" w:cs="方正仿宋_GBK"/>
          <w:b/>
          <w:bCs/>
          <w:sz w:val="24"/>
          <w:lang w:eastAsia="zh-CN"/>
        </w:rPr>
        <w:t>（新购新能源货车时上传）</w:t>
      </w:r>
      <w:r>
        <w:rPr>
          <w:rFonts w:hint="eastAsia" w:ascii="方正仿宋_GBK" w:hAnsi="方正仿宋_GBK" w:eastAsia="方正仿宋_GBK" w:cs="方正仿宋_GBK"/>
          <w:b/>
          <w:bCs/>
          <w:sz w:val="24"/>
        </w:rPr>
        <w:t>、城市物流配送汽车选型技术要求》(GB/T29912)书面证明（仅新购新能源城市冷链配送货车时上传）。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b/>
          <w:bCs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在填写过程中，系统会自动暂存。暂存件可在“审核进度查询”列表中找到。</w:t>
      </w:r>
    </w:p>
    <w:p>
      <w:pPr>
        <w:rPr>
          <w:rFonts w:hint="eastAsia" w:ascii="方正仿宋_GBK" w:hAnsi="方正仿宋_GBK" w:eastAsia="方正仿宋_GBK" w:cs="方正仿宋_GBK"/>
          <w:sz w:val="24"/>
        </w:rPr>
      </w:pPr>
    </w:p>
    <w:p>
      <w:pPr>
        <w:ind w:firstLine="482" w:firstLineChars="200"/>
        <w:rPr>
          <w:rFonts w:hint="eastAsia" w:ascii="方正仿宋_GBK" w:hAnsi="方正仿宋_GBK" w:eastAsia="方正仿宋_GBK" w:cs="方正仿宋_GBK"/>
          <w:b/>
          <w:bCs/>
          <w:color w:val="FF0000"/>
          <w:sz w:val="24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24"/>
        </w:rPr>
      </w:pP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590800" cy="5660390"/>
            <wp:effectExtent l="0" t="0" r="0" b="0"/>
            <wp:docPr id="10239697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69721" name="图片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567" cy="568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537460" cy="5601335"/>
            <wp:effectExtent l="0" t="0" r="0" b="0"/>
            <wp:docPr id="8051266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26632" name="图片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801" cy="561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0"/>
        <w:ind w:left="48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（5）审核进度查询，申报人可以查询暂存件和已提交申请件的进度。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审核不通过</w:t>
      </w:r>
      <w:r>
        <w:rPr>
          <w:rFonts w:hint="eastAsia" w:ascii="方正仿宋_GBK" w:hAnsi="方正仿宋_GBK" w:eastAsia="方正仿宋_GBK" w:cs="方正仿宋_GBK"/>
          <w:sz w:val="24"/>
        </w:rPr>
        <w:t>，点击“编辑”后可查看审核未通过原因，申报人可根据原因修改后重新提交审核。</w:t>
      </w:r>
    </w:p>
    <w:p>
      <w:pPr>
        <w:pStyle w:val="30"/>
        <w:jc w:val="center"/>
        <w:rPr>
          <w:rFonts w:hint="eastAsia" w:ascii="方正仿宋_GBK" w:hAnsi="方正仿宋_GBK" w:eastAsia="方正仿宋_GBK" w:cs="方正仿宋_GBK"/>
          <w:sz w:val="24"/>
        </w:rPr>
      </w:pPr>
      <w:r>
        <w:rPr>
          <w:rFonts w:ascii="方正仿宋_GBK" w:hAnsi="方正仿宋_GBK" w:eastAsia="方正仿宋_GBK" w:cs="方正仿宋_GBK"/>
          <w:sz w:val="24"/>
        </w:rPr>
        <w:drawing>
          <wp:inline distT="0" distB="0" distL="0" distR="0">
            <wp:extent cx="2606040" cy="5722620"/>
            <wp:effectExtent l="0" t="0" r="3810" b="0"/>
            <wp:docPr id="16664178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417879" name="图片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财政驳回</w:t>
      </w:r>
      <w:r>
        <w:rPr>
          <w:rFonts w:hint="eastAsia" w:ascii="方正仿宋_GBK" w:hAnsi="方正仿宋_GBK" w:eastAsia="方正仿宋_GBK" w:cs="方正仿宋_GBK"/>
          <w:sz w:val="24"/>
        </w:rPr>
        <w:t>，表示是申报人填写的收款账号存在异常，市财政打款失败，需要申报人核实收款账号是否有误或存在银行限额等原因。点击“财政驳回”按钮对收款账号进行核查修改后再次提交。</w:t>
      </w:r>
    </w:p>
    <w:p>
      <w:pPr>
        <w:pStyle w:val="30"/>
        <w:jc w:val="center"/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3248025" cy="7134225"/>
            <wp:effectExtent l="0" t="0" r="9525" b="9525"/>
            <wp:docPr id="1285617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1729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eastAsia="方正仿宋_GBK" w:cs="方正仿宋_GBK"/>
          <w:sz w:val="24"/>
        </w:rPr>
      </w:pPr>
    </w:p>
    <w:p>
      <w:pPr>
        <w:outlineLvl w:val="1"/>
        <w:rPr>
          <w:rFonts w:hint="eastAsia" w:ascii="方正仿宋_GBK" w:hAnsi="方正仿宋_GBK" w:eastAsia="方正仿宋_GBK" w:cs="方正仿宋_GBK"/>
          <w:b/>
          <w:bCs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2、“渝快政”端业务办理</w:t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（1）“渝快政”端业务办理的入口分为两种；一是通过渝快政消息通知进入，二是通过数字交通-&gt;社会·渝悦·渝你同行驾驶舱-&gt;工作台进入。</w:t>
      </w:r>
    </w:p>
    <w:p>
      <w:pPr>
        <w:ind w:firstLine="482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通过渝快政消息通知进入：</w:t>
      </w:r>
      <w:r>
        <w:rPr>
          <w:rFonts w:hint="eastAsia" w:ascii="方正仿宋_GBK" w:hAnsi="方正仿宋_GBK" w:eastAsia="方正仿宋_GBK" w:cs="方正仿宋_GBK"/>
          <w:sz w:val="24"/>
        </w:rPr>
        <w:t>在PC版渝快政找到消息通知并点击，选中在工作通知中选中“数字交通”找到“老旧营运货车、新能源城市公交车及电池报废更新资金补贴事件”相关通知，点击查看详情就可以进入办理页面。</w:t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drawing>
          <wp:inline distT="0" distB="0" distL="0" distR="0">
            <wp:extent cx="5274310" cy="3289935"/>
            <wp:effectExtent l="0" t="0" r="2540" b="5715"/>
            <wp:docPr id="1263935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3549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5274310" cy="2551430"/>
            <wp:effectExtent l="0" t="0" r="2540" b="1270"/>
            <wp:docPr id="177086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676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4"/>
        </w:rPr>
      </w:pPr>
    </w:p>
    <w:p>
      <w:pPr>
        <w:ind w:firstLine="482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通过数字交通-&gt;社会·渝悦·渝你同行驾驶舱-&gt;工作台进入：</w:t>
      </w:r>
      <w:r>
        <w:rPr>
          <w:rFonts w:hint="eastAsia" w:ascii="方正仿宋_GBK" w:hAnsi="方正仿宋_GBK" w:eastAsia="方正仿宋_GBK" w:cs="方正仿宋_GBK"/>
          <w:sz w:val="24"/>
        </w:rPr>
        <w:t>在PC版渝快政找到“工作台-&gt;数字重庆-&gt;数字交通”点击进入数字交通应用，在数字交通应用中找到“社会·渝悦·渝你同行”点击进入应用，在渝你同行驾驶舱右上角找到</w:t>
      </w:r>
      <w:r>
        <w:rPr>
          <w:rFonts w:ascii="方正仿宋_GBK" w:hAnsi="方正仿宋_GBK" w:eastAsia="方正仿宋_GBK" w:cs="方正仿宋_GBK"/>
          <w:sz w:val="24"/>
        </w:rPr>
        <w:t>”</w:t>
      </w:r>
      <w:r>
        <w:rPr>
          <w:rFonts w:hint="eastAsia" w:ascii="方正仿宋_GBK" w:hAnsi="方正仿宋_GBK" w:eastAsia="方正仿宋_GBK" w:cs="方正仿宋_GBK"/>
          <w:sz w:val="24"/>
        </w:rPr>
        <w:t>工作台</w:t>
      </w:r>
      <w:r>
        <w:rPr>
          <w:rFonts w:ascii="方正仿宋_GBK" w:hAnsi="方正仿宋_GBK" w:eastAsia="方正仿宋_GBK" w:cs="方正仿宋_GBK"/>
          <w:sz w:val="24"/>
        </w:rPr>
        <w:t>”</w:t>
      </w:r>
      <w:r>
        <w:rPr>
          <w:rFonts w:hint="eastAsia" w:ascii="方正仿宋_GBK" w:hAnsi="方正仿宋_GBK" w:eastAsia="方正仿宋_GBK" w:cs="方正仿宋_GBK"/>
          <w:sz w:val="24"/>
        </w:rPr>
        <w:t>鼠标移动上去会有“大客流疏运”和“两新报废更新”，点击</w:t>
      </w:r>
      <w:r>
        <w:rPr>
          <w:rFonts w:ascii="方正仿宋_GBK" w:hAnsi="方正仿宋_GBK" w:eastAsia="方正仿宋_GBK" w:cs="方正仿宋_GBK"/>
          <w:sz w:val="24"/>
        </w:rPr>
        <w:t>”</w:t>
      </w:r>
      <w:r>
        <w:rPr>
          <w:rFonts w:hint="eastAsia" w:ascii="方正仿宋_GBK" w:hAnsi="方正仿宋_GBK" w:eastAsia="方正仿宋_GBK" w:cs="方正仿宋_GBK"/>
          <w:sz w:val="24"/>
        </w:rPr>
        <w:t>两新报废更新</w:t>
      </w:r>
      <w:r>
        <w:rPr>
          <w:rFonts w:ascii="方正仿宋_GBK" w:hAnsi="方正仿宋_GBK" w:eastAsia="方正仿宋_GBK" w:cs="方正仿宋_GBK"/>
          <w:sz w:val="24"/>
        </w:rPr>
        <w:t>”</w:t>
      </w:r>
      <w:r>
        <w:rPr>
          <w:rFonts w:hint="eastAsia" w:ascii="方正仿宋_GBK" w:hAnsi="方正仿宋_GBK" w:eastAsia="方正仿宋_GBK" w:cs="方正仿宋_GBK"/>
          <w:sz w:val="24"/>
        </w:rPr>
        <w:t>及可进入业务办理页面。</w:t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5274310" cy="3093085"/>
            <wp:effectExtent l="0" t="0" r="2540" b="0"/>
            <wp:docPr id="1334274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7486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5274310" cy="2918460"/>
            <wp:effectExtent l="0" t="0" r="2540" b="0"/>
            <wp:docPr id="67647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7305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5274310" cy="2909570"/>
            <wp:effectExtent l="0" t="0" r="2540" b="5080"/>
            <wp:docPr id="2117684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84719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5274310" cy="2551430"/>
            <wp:effectExtent l="0" t="0" r="2540" b="1270"/>
            <wp:docPr id="2448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36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24"/>
        </w:rPr>
      </w:pP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2）申请审核，货车报废更新资金补贴由区县交通运输部门、区县公安局、区县商务委三部门审核，三部门均审核通过后，申报件自动上报至市级层面审核，系统会根据处理进度控制审核权限，列表中可见“审核”按钮时才能进行审核。</w:t>
      </w:r>
    </w:p>
    <w:p>
      <w:pPr>
        <w:ind w:firstLine="482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b/>
          <w:bCs/>
          <w:sz w:val="24"/>
        </w:rPr>
        <w:t>审核：</w:t>
      </w:r>
      <w:r>
        <w:rPr>
          <w:rFonts w:hint="eastAsia" w:ascii="方正仿宋_GBK" w:hAnsi="方正仿宋_GBK" w:eastAsia="方正仿宋_GBK" w:cs="方正仿宋_GBK"/>
          <w:sz w:val="24"/>
        </w:rPr>
        <w:t>进入到两新补贴申请审核列表后，点击列表中的“审核”按钮。</w:t>
      </w:r>
    </w:p>
    <w:p>
      <w:pPr>
        <w:rPr>
          <w:rFonts w:hint="eastAsia" w:ascii="方正仿宋_GBK" w:hAnsi="方正仿宋_GBK" w:eastAsia="方正仿宋_GBK" w:cs="方正仿宋_GBK"/>
          <w:sz w:val="24"/>
        </w:rPr>
      </w:pPr>
      <w:r>
        <w:rPr>
          <w14:ligatures w14:val="standardContextual"/>
        </w:rPr>
        <w:drawing>
          <wp:inline distT="0" distB="0" distL="0" distR="0">
            <wp:extent cx="5274310" cy="3191510"/>
            <wp:effectExtent l="0" t="0" r="2540" b="8890"/>
            <wp:docPr id="1237056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56335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 xml:space="preserve">进入到审核详情页面后，审核人对相关信息及材料进行审查。 </w:t>
      </w:r>
    </w:p>
    <w:p>
      <w:pPr>
        <w:rPr>
          <w:rFonts w:hint="eastAsia"/>
          <w14:ligatures w14:val="standardContextual"/>
        </w:rPr>
      </w:pPr>
      <w:r>
        <w:drawing>
          <wp:inline distT="0" distB="0" distL="0" distR="0">
            <wp:extent cx="5274310" cy="3186430"/>
            <wp:effectExtent l="0" t="0" r="2540" b="0"/>
            <wp:docPr id="15114252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42528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申报车辆佐证材料审核：点击审核详情页中的“材料审核”可以逐一对车辆佐证材料进行审核。</w:t>
      </w:r>
    </w:p>
    <w:p>
      <w:pPr>
        <w:rPr>
          <w:rFonts w:hint="eastAsia"/>
          <w14:ligatures w14:val="standardContextual"/>
        </w:rPr>
      </w:pPr>
      <w:r>
        <w:drawing>
          <wp:inline distT="0" distB="0" distL="0" distR="0">
            <wp:extent cx="5274310" cy="3286760"/>
            <wp:effectExtent l="0" t="0" r="2540" b="8890"/>
            <wp:docPr id="539474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7494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14:ligatures w14:val="standardContextual"/>
        </w:rPr>
      </w:pPr>
      <w:r>
        <w:drawing>
          <wp:inline distT="0" distB="0" distL="0" distR="0">
            <wp:extent cx="5274310" cy="2583180"/>
            <wp:effectExtent l="0" t="0" r="2540" b="7620"/>
            <wp:docPr id="483769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6914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材料审核完成后，需要对每个人工审核项进行点击打勾。</w:t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同时选择“通过”或者“驳回”并填写审核意见，当前审核步骤就完成了。</w:t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审核注意事项：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交通运输部门的材料审核页面系统会自动校验道路运输证以及注销、发放是否在政策实施期内，校验通过的会提示“运政信息自动校验通过”。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商务委和公安局审核操作界面同交通运输部门的审核界面相同，只是审核内容不一样。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市级层面复核不通过时，申报件将直接退回给申报人。</w:t>
      </w:r>
    </w:p>
    <w:p>
      <w:pPr>
        <w:rPr>
          <w:rFonts w:hint="eastAsia"/>
          <w14:ligatures w14:val="standardContextual"/>
        </w:rPr>
      </w:pPr>
      <w:r>
        <w:drawing>
          <wp:inline distT="0" distB="0" distL="0" distR="0">
            <wp:extent cx="5274310" cy="3289935"/>
            <wp:effectExtent l="0" t="0" r="2540" b="5715"/>
            <wp:docPr id="1809102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0299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（2）财政驳回（仅市交通运输部门拥有该功能），指的是申报人在录入银行账号信息时，录入的收款账号存在异常，导致市财政无法打款。市级审核人员可以通过此功能直接退回至申报人，申报人核实后重新提交收款账户信息。。</w:t>
      </w:r>
    </w:p>
    <w:p>
      <w:pPr>
        <w:ind w:firstLine="480" w:firstLineChars="200"/>
        <w:rPr>
          <w:rFonts w:hint="eastAsia" w:ascii="方正仿宋_GBK" w:hAnsi="方正仿宋_GBK" w:eastAsia="方正仿宋_GBK" w:cs="方正仿宋_GBK"/>
          <w:sz w:val="24"/>
        </w:rPr>
      </w:pPr>
      <w:r>
        <w:rPr>
          <w:rFonts w:hint="eastAsia" w:ascii="方正仿宋_GBK" w:hAnsi="方正仿宋_GBK" w:eastAsia="方正仿宋_GBK" w:cs="方正仿宋_GBK"/>
          <w:sz w:val="24"/>
        </w:rPr>
        <w:t>市交通运输委审核人员点击审核列表中的“财政驳回”按钮，输入驳回原因即可驳回给申报人，申报人核实完银行账户并重新提交时，会通过渝快政通知消息提醒市交通运输委审核人。</w:t>
      </w:r>
    </w:p>
    <w:p>
      <w:pPr>
        <w:rPr>
          <w:rFonts w:hint="eastAsia"/>
          <w14:ligatures w14:val="standardContextual"/>
        </w:rPr>
      </w:pPr>
      <w:r>
        <w:rPr>
          <w14:ligatures w14:val="standardContextual"/>
        </w:rPr>
        <w:drawing>
          <wp:inline distT="0" distB="0" distL="0" distR="0">
            <wp:extent cx="5274310" cy="2717800"/>
            <wp:effectExtent l="0" t="0" r="2540" b="6350"/>
            <wp:docPr id="492304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04709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4242AE"/>
    <w:multiLevelType w:val="singleLevel"/>
    <w:tmpl w:val="864242A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72C"/>
    <w:rsid w:val="000341AB"/>
    <w:rsid w:val="0006668A"/>
    <w:rsid w:val="000A4480"/>
    <w:rsid w:val="000A5370"/>
    <w:rsid w:val="000C03D0"/>
    <w:rsid w:val="000D015B"/>
    <w:rsid w:val="000E64C6"/>
    <w:rsid w:val="00170E75"/>
    <w:rsid w:val="00190135"/>
    <w:rsid w:val="001914AD"/>
    <w:rsid w:val="001C3ABE"/>
    <w:rsid w:val="001D21C0"/>
    <w:rsid w:val="001D4CCB"/>
    <w:rsid w:val="0022424C"/>
    <w:rsid w:val="00235236"/>
    <w:rsid w:val="002459D8"/>
    <w:rsid w:val="00270AC0"/>
    <w:rsid w:val="00291D11"/>
    <w:rsid w:val="00293673"/>
    <w:rsid w:val="002A5A3D"/>
    <w:rsid w:val="002D50ED"/>
    <w:rsid w:val="002E141B"/>
    <w:rsid w:val="0030742D"/>
    <w:rsid w:val="00354361"/>
    <w:rsid w:val="00354A1A"/>
    <w:rsid w:val="003C0A75"/>
    <w:rsid w:val="00402554"/>
    <w:rsid w:val="00431DD9"/>
    <w:rsid w:val="00446AF4"/>
    <w:rsid w:val="004B5F90"/>
    <w:rsid w:val="004B7626"/>
    <w:rsid w:val="004F547E"/>
    <w:rsid w:val="005332DC"/>
    <w:rsid w:val="0053429C"/>
    <w:rsid w:val="005436B6"/>
    <w:rsid w:val="005539BE"/>
    <w:rsid w:val="005C7A77"/>
    <w:rsid w:val="005D4EAD"/>
    <w:rsid w:val="00632EAD"/>
    <w:rsid w:val="00635503"/>
    <w:rsid w:val="006430FF"/>
    <w:rsid w:val="00650EF5"/>
    <w:rsid w:val="00704B66"/>
    <w:rsid w:val="007A754E"/>
    <w:rsid w:val="007B2592"/>
    <w:rsid w:val="007D1D61"/>
    <w:rsid w:val="00837BB8"/>
    <w:rsid w:val="00855439"/>
    <w:rsid w:val="00863B36"/>
    <w:rsid w:val="008A3CC4"/>
    <w:rsid w:val="008C69E2"/>
    <w:rsid w:val="008E29E0"/>
    <w:rsid w:val="008E4477"/>
    <w:rsid w:val="008F0E22"/>
    <w:rsid w:val="00925A6E"/>
    <w:rsid w:val="009269ED"/>
    <w:rsid w:val="00934112"/>
    <w:rsid w:val="009402B9"/>
    <w:rsid w:val="009560A8"/>
    <w:rsid w:val="009565F0"/>
    <w:rsid w:val="00974DCF"/>
    <w:rsid w:val="009B1D24"/>
    <w:rsid w:val="009C4A8A"/>
    <w:rsid w:val="00A308FF"/>
    <w:rsid w:val="00AC63C7"/>
    <w:rsid w:val="00B3234A"/>
    <w:rsid w:val="00BB46D8"/>
    <w:rsid w:val="00BE6F1E"/>
    <w:rsid w:val="00C663CB"/>
    <w:rsid w:val="00C766C6"/>
    <w:rsid w:val="00C87364"/>
    <w:rsid w:val="00CF572C"/>
    <w:rsid w:val="00D530D5"/>
    <w:rsid w:val="00D92D62"/>
    <w:rsid w:val="00DA1AF2"/>
    <w:rsid w:val="00E324AE"/>
    <w:rsid w:val="00E45430"/>
    <w:rsid w:val="00E96D9A"/>
    <w:rsid w:val="00EE1EA9"/>
    <w:rsid w:val="00F00575"/>
    <w:rsid w:val="00F31E70"/>
    <w:rsid w:val="00F51011"/>
    <w:rsid w:val="00F80020"/>
    <w:rsid w:val="03630C99"/>
    <w:rsid w:val="066E7569"/>
    <w:rsid w:val="06A66FC6"/>
    <w:rsid w:val="08B7316E"/>
    <w:rsid w:val="098D1913"/>
    <w:rsid w:val="14571FCB"/>
    <w:rsid w:val="19BE5D1C"/>
    <w:rsid w:val="1A0758B3"/>
    <w:rsid w:val="1C5237AF"/>
    <w:rsid w:val="20553DDD"/>
    <w:rsid w:val="227B4C11"/>
    <w:rsid w:val="27C0718F"/>
    <w:rsid w:val="37BA1E22"/>
    <w:rsid w:val="4FFD9DFC"/>
    <w:rsid w:val="524702CB"/>
    <w:rsid w:val="55596CB8"/>
    <w:rsid w:val="5F2150AD"/>
    <w:rsid w:val="64572560"/>
    <w:rsid w:val="66F7A0E6"/>
    <w:rsid w:val="6FCA883F"/>
    <w:rsid w:val="7171208C"/>
    <w:rsid w:val="74703F13"/>
    <w:rsid w:val="76EB7D13"/>
    <w:rsid w:val="7D9D0DFB"/>
    <w:rsid w:val="7D9F071C"/>
    <w:rsid w:val="7E475032"/>
    <w:rsid w:val="7FFFFFCC"/>
    <w:rsid w:val="8458C6D5"/>
    <w:rsid w:val="BC549708"/>
    <w:rsid w:val="E1BF71D6"/>
    <w:rsid w:val="FD77FAD3"/>
    <w:rsid w:val="FF75A45B"/>
    <w:rsid w:val="FFFD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明显强调1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明显参考1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  <w:style w:type="paragraph" w:customStyle="1" w:styleId="37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512</Words>
  <Characters>2920</Characters>
  <Lines>24</Lines>
  <Paragraphs>6</Paragraphs>
  <TotalTime>0</TotalTime>
  <ScaleCrop>false</ScaleCrop>
  <LinksUpToDate>false</LinksUpToDate>
  <CharactersWithSpaces>3426</CharactersWithSpaces>
  <Application>WPS Office_12.8.2.15283_F1E327BC-269C-435d-A152-05C5408002CA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2025-03-05T17:17:00Z</dcterms:created>
  <dc:creator>yi liang</dc:creator>
  <cp:lastModifiedBy>阿篱的一壶酒</cp:lastModifiedBy>
  <dcterms:modified xsi:type="dcterms:W3CDTF">2025-03-24T15:13:53Z</dcterms:modified>
  <cp:revision>149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eyJoZGlkIjoiZWVjYzEzMmUxNDUwNjllZDk4MjhkMDI3Zjk5NjY4OGQiLCJ1c2VySWQiOiI5NDQxNjQ1ODAifQ==</vt:lpwstr>
  </property>
  <property fmtid="{D5CDD505-2E9C-101B-9397-08002B2CF9AE}" pid="3" name="KSOProductBuildVer">
    <vt:lpwstr>2052-12.8.2.15283</vt:lpwstr>
  </property>
  <property fmtid="{D5CDD505-2E9C-101B-9397-08002B2CF9AE}" pid="4" name="ICV">
    <vt:lpwstr>F360EBFCA0AA4F49BF35FA3389864D7B_12</vt:lpwstr>
  </property>
</Properties>
</file>